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06EF6" w14:textId="504C0B6E" w:rsidR="00C87265" w:rsidRPr="00BE7BD0" w:rsidRDefault="00C87265" w:rsidP="00C87265">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#114                                                       R1</w:t>
      </w:r>
      <w:r w:rsidRPr="00BE7BD0">
        <w:rPr>
          <w:b/>
          <w:noProof/>
          <w:sz w:val="24"/>
        </w:rPr>
        <w:t>-</w:t>
      </w:r>
      <w:r w:rsidR="00A63535" w:rsidRPr="00A63535">
        <w:rPr>
          <w:b/>
          <w:bCs/>
          <w:noProof/>
          <w:sz w:val="24"/>
          <w:lang w:val="en-US"/>
        </w:rPr>
        <w:t>230727</w:t>
      </w:r>
      <w:r w:rsidR="00A63535">
        <w:rPr>
          <w:b/>
          <w:bCs/>
          <w:noProof/>
          <w:sz w:val="24"/>
          <w:lang w:val="en-US"/>
        </w:rPr>
        <w:t>5</w:t>
      </w:r>
      <w:r>
        <w:rPr>
          <w:b/>
          <w:i/>
          <w:noProof/>
          <w:sz w:val="28"/>
        </w:rPr>
        <w:tab/>
      </w:r>
    </w:p>
    <w:p w14:paraId="7D5D9C7E" w14:textId="77777777" w:rsidR="00C87265" w:rsidRPr="009E56BE" w:rsidRDefault="00C87265" w:rsidP="00C87265">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Toulouse, France, August</w:t>
      </w:r>
      <w:r w:rsidRPr="009E56BE">
        <w:rPr>
          <w:rFonts w:ascii="Arial" w:eastAsia="MS Mincho" w:hAnsi="Arial" w:cs="Arial"/>
          <w:b/>
          <w:bCs/>
          <w:szCs w:val="22"/>
          <w:lang w:val="en-GB"/>
        </w:rPr>
        <w:t xml:space="preserve"> </w:t>
      </w:r>
      <w:r>
        <w:rPr>
          <w:rFonts w:ascii="Arial" w:eastAsia="MS Mincho" w:hAnsi="Arial" w:cs="Arial"/>
          <w:b/>
          <w:bCs/>
          <w:szCs w:val="22"/>
          <w:lang w:val="en-GB"/>
        </w:rPr>
        <w:t>21</w:t>
      </w:r>
      <w:r>
        <w:rPr>
          <w:rFonts w:ascii="Arial" w:eastAsia="MS Mincho" w:hAnsi="Arial" w:cs="Arial"/>
          <w:b/>
          <w:bCs/>
          <w:szCs w:val="22"/>
          <w:vertAlign w:val="superscript"/>
          <w:lang w:val="en-GB"/>
        </w:rPr>
        <w:t>st</w:t>
      </w:r>
      <w:r w:rsidRPr="009E56BE">
        <w:rPr>
          <w:rFonts w:ascii="Arial" w:eastAsia="MS Mincho" w:hAnsi="Arial" w:cs="Arial"/>
          <w:b/>
          <w:bCs/>
          <w:szCs w:val="22"/>
          <w:lang w:val="en-GB"/>
        </w:rPr>
        <w:t xml:space="preserve"> – </w:t>
      </w:r>
      <w:r>
        <w:rPr>
          <w:rFonts w:ascii="Arial" w:eastAsia="MS Mincho" w:hAnsi="Arial" w:cs="Arial"/>
          <w:b/>
          <w:bCs/>
          <w:szCs w:val="22"/>
          <w:lang w:val="en-GB"/>
        </w:rPr>
        <w:t>25</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000E2F64" w14:textId="77777777" w:rsidR="0075361D" w:rsidRPr="00BE7BD0" w:rsidRDefault="0075361D" w:rsidP="0075361D">
      <w:pPr>
        <w:tabs>
          <w:tab w:val="center" w:pos="4536"/>
          <w:tab w:val="right" w:pos="9072"/>
        </w:tabs>
        <w:rPr>
          <w:rFonts w:ascii="Arial" w:eastAsia="MS Mincho" w:hAnsi="Arial" w:cs="Arial"/>
          <w:b/>
          <w:bCs/>
          <w:lang w:eastAsia="ja-JP"/>
        </w:rPr>
      </w:pPr>
    </w:p>
    <w:p w14:paraId="3B3CB684" w14:textId="6CA283CA" w:rsidR="0075361D" w:rsidRPr="00315C6E" w:rsidRDefault="0075361D" w:rsidP="0075361D">
      <w:pPr>
        <w:pStyle w:val="3GPPHeader"/>
        <w:rPr>
          <w:sz w:val="22"/>
          <w:szCs w:val="22"/>
        </w:rPr>
      </w:pPr>
      <w:r w:rsidRPr="00315C6E">
        <w:rPr>
          <w:sz w:val="22"/>
          <w:szCs w:val="22"/>
        </w:rPr>
        <w:t>Agenda Item:</w:t>
      </w:r>
      <w:r w:rsidRPr="00315C6E">
        <w:rPr>
          <w:sz w:val="22"/>
          <w:szCs w:val="22"/>
        </w:rPr>
        <w:tab/>
      </w:r>
      <w:r>
        <w:rPr>
          <w:sz w:val="22"/>
          <w:szCs w:val="22"/>
        </w:rPr>
        <w:t>9.3.2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2FF5DD" w:rsidR="00B23EB7" w:rsidRDefault="00B23EB7" w:rsidP="00B23EB7">
      <w:pPr>
        <w:pStyle w:val="3GPPHeader"/>
        <w:rPr>
          <w:sz w:val="22"/>
          <w:szCs w:val="22"/>
        </w:rPr>
      </w:pPr>
      <w:r w:rsidRPr="00315C6E">
        <w:rPr>
          <w:sz w:val="22"/>
          <w:szCs w:val="22"/>
        </w:rPr>
        <w:t>Title:</w:t>
      </w:r>
      <w:r w:rsidRPr="00315C6E">
        <w:rPr>
          <w:sz w:val="22"/>
          <w:szCs w:val="22"/>
        </w:rPr>
        <w:tab/>
      </w:r>
      <w:r w:rsidR="00C45A30">
        <w:rPr>
          <w:sz w:val="22"/>
          <w:szCs w:val="22"/>
        </w:rPr>
        <w:t>Views on subband non-overlapping full duplex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5754F9AF" w:rsidR="00EF1791" w:rsidRDefault="00EF1791" w:rsidP="00EF1791">
      <w:pPr>
        <w:tabs>
          <w:tab w:val="left" w:pos="640"/>
        </w:tabs>
        <w:jc w:val="both"/>
        <w:rPr>
          <w:sz w:val="20"/>
          <w:szCs w:val="20"/>
        </w:rPr>
      </w:pPr>
      <w:r w:rsidRPr="00EF1791">
        <w:rPr>
          <w:sz w:val="20"/>
          <w:szCs w:val="20"/>
        </w:rPr>
        <w:t>In RAN</w:t>
      </w:r>
      <w:r>
        <w:rPr>
          <w:sz w:val="20"/>
          <w:szCs w:val="20"/>
        </w:rPr>
        <w:t>#</w:t>
      </w:r>
      <w:r w:rsidRPr="00EF1791">
        <w:rPr>
          <w:sz w:val="20"/>
          <w:szCs w:val="20"/>
        </w:rPr>
        <w:t>94</w:t>
      </w:r>
      <w:r>
        <w:rPr>
          <w:sz w:val="20"/>
          <w:szCs w:val="20"/>
        </w:rPr>
        <w:t xml:space="preserve"> e-</w:t>
      </w:r>
      <w:r w:rsidRPr="00EF1791">
        <w:rPr>
          <w:sz w:val="20"/>
          <w:szCs w:val="20"/>
        </w:rPr>
        <w:t>meeting, a new study item, ‘Study on Evolution of NR Duplex Operation’, was approved</w:t>
      </w:r>
      <w:r>
        <w:rPr>
          <w:sz w:val="20"/>
          <w:szCs w:val="20"/>
        </w:rPr>
        <w:t xml:space="preserve"> to </w:t>
      </w:r>
      <w:r w:rsidRPr="00EF1791">
        <w:rPr>
          <w:sz w:val="20"/>
          <w:szCs w:val="20"/>
          <w:lang w:val="en-GB"/>
        </w:rPr>
        <w:t>identify and evaluate the potential enhancements to support duplex evolution for NR TDD in unpaired spectrum</w:t>
      </w:r>
      <w:r w:rsidRPr="00EF1791">
        <w:rPr>
          <w:sz w:val="20"/>
          <w:szCs w:val="20"/>
        </w:rPr>
        <w:t xml:space="preserve"> with some of objectives as follows</w:t>
      </w:r>
      <w:r>
        <w:rPr>
          <w:sz w:val="20"/>
          <w:szCs w:val="20"/>
        </w:rPr>
        <w:t xml:space="preserve"> [1]</w:t>
      </w:r>
      <w:r w:rsidRPr="00EF1791">
        <w:rPr>
          <w:sz w:val="20"/>
          <w:szCs w:val="20"/>
        </w:rPr>
        <w:t>:</w:t>
      </w:r>
    </w:p>
    <w:p w14:paraId="6C843988" w14:textId="77777777" w:rsidR="00C45A30" w:rsidRPr="00C45A30" w:rsidRDefault="00C45A30" w:rsidP="00C45A30">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subband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27A00D18"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422320C5"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 xml:space="preserve">Study inter-gNB and inter-UE CLI handling and identify solutions to manage them (RAN1). </w:t>
      </w:r>
    </w:p>
    <w:p w14:paraId="58ACF13E" w14:textId="77777777" w:rsidR="00C45A30" w:rsidRPr="00C45A30" w:rsidRDefault="00C45A30" w:rsidP="00C45A30">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 xml:space="preserve">Consider intra-subband CLI and inter-subband CLI in case of the </w:t>
      </w:r>
      <w:r w:rsidRPr="00C45A30">
        <w:rPr>
          <w:rFonts w:ascii="Times" w:eastAsia="Batang" w:hAnsi="Times"/>
          <w:sz w:val="20"/>
          <w:szCs w:val="20"/>
          <w:lang w:eastAsia="x-none"/>
        </w:rPr>
        <w:t>subband non-overlapping full duplex</w:t>
      </w:r>
      <w:r w:rsidRPr="00C45A30">
        <w:rPr>
          <w:rFonts w:ascii="Times" w:eastAsia="Batang" w:hAnsi="Times"/>
          <w:bCs/>
          <w:sz w:val="20"/>
          <w:szCs w:val="20"/>
          <w:lang w:val="en-GB" w:eastAsia="x-none"/>
        </w:rPr>
        <w:t>.</w:t>
      </w:r>
    </w:p>
    <w:p w14:paraId="7DAFC2E4"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F9526C1" w14:textId="77777777" w:rsidR="00DE5C43" w:rsidRDefault="00DE5C43" w:rsidP="00EF1791">
      <w:pPr>
        <w:tabs>
          <w:tab w:val="left" w:pos="640"/>
        </w:tabs>
        <w:jc w:val="both"/>
        <w:rPr>
          <w:sz w:val="20"/>
          <w:szCs w:val="20"/>
        </w:rPr>
      </w:pPr>
    </w:p>
    <w:p w14:paraId="7EAE4861" w14:textId="1A19A637" w:rsidR="00EF1791" w:rsidRDefault="00EF1791" w:rsidP="00EF1791">
      <w:pPr>
        <w:tabs>
          <w:tab w:val="left" w:pos="640"/>
        </w:tabs>
        <w:jc w:val="both"/>
        <w:rPr>
          <w:sz w:val="20"/>
          <w:szCs w:val="20"/>
        </w:rPr>
      </w:pPr>
      <w:r w:rsidRPr="00EF1791">
        <w:rPr>
          <w:sz w:val="20"/>
          <w:szCs w:val="20"/>
        </w:rPr>
        <w:t xml:space="preserve">In </w:t>
      </w:r>
      <w:r>
        <w:rPr>
          <w:sz w:val="20"/>
          <w:szCs w:val="20"/>
        </w:rPr>
        <w:t xml:space="preserve">this contribution, we share our </w:t>
      </w:r>
      <w:r w:rsidR="00C45A30">
        <w:rPr>
          <w:sz w:val="20"/>
          <w:szCs w:val="20"/>
        </w:rPr>
        <w:t>views</w:t>
      </w:r>
      <w:r w:rsidR="00DE5C43">
        <w:rPr>
          <w:sz w:val="20"/>
          <w:szCs w:val="20"/>
        </w:rPr>
        <w:t xml:space="preserve"> on </w:t>
      </w:r>
      <w:r w:rsidR="00DE5C43" w:rsidRPr="00EF1791">
        <w:rPr>
          <w:sz w:val="20"/>
          <w:szCs w:val="20"/>
          <w:lang w:val="en-GB"/>
        </w:rPr>
        <w:t>duplex evolution for NR TDD</w:t>
      </w:r>
      <w:r w:rsidR="00DE5C43">
        <w:rPr>
          <w:sz w:val="20"/>
          <w:szCs w:val="20"/>
        </w:rPr>
        <w:t>.</w:t>
      </w:r>
    </w:p>
    <w:p w14:paraId="650A411A" w14:textId="77777777" w:rsidR="00D45853" w:rsidRPr="00EF1791" w:rsidRDefault="00D45853" w:rsidP="00EF1791">
      <w:pPr>
        <w:tabs>
          <w:tab w:val="left" w:pos="640"/>
        </w:tabs>
        <w:jc w:val="both"/>
        <w:rPr>
          <w:sz w:val="20"/>
          <w:szCs w:val="20"/>
        </w:rPr>
      </w:pPr>
    </w:p>
    <w:p w14:paraId="665DB461" w14:textId="26CA942B" w:rsidR="00FB414C" w:rsidRDefault="00F171C0" w:rsidP="00300A71">
      <w:pPr>
        <w:pStyle w:val="Heading1"/>
      </w:pPr>
      <w:r>
        <w:t>SBFD Operation at gNB</w:t>
      </w:r>
    </w:p>
    <w:p w14:paraId="1294CDB5" w14:textId="04DFAFF8" w:rsidR="00A7276B" w:rsidRDefault="004636A7" w:rsidP="00F73E10">
      <w:pPr>
        <w:pStyle w:val="Heading2"/>
      </w:pPr>
      <w:r>
        <w:t>Resource allocation</w:t>
      </w:r>
    </w:p>
    <w:p w14:paraId="37A20137" w14:textId="62ED14F8" w:rsidR="007126A2" w:rsidRDefault="006041D6" w:rsidP="00F171C0">
      <w:pPr>
        <w:pStyle w:val="0Maintext"/>
        <w:spacing w:after="120" w:afterAutospacing="0" w:line="240" w:lineRule="auto"/>
        <w:ind w:firstLine="0"/>
      </w:pPr>
      <w:r>
        <w:t>In RAN1#112, the concept of so</w:t>
      </w:r>
      <w:r w:rsidR="00513D2D">
        <w:t xml:space="preserve"> </w:t>
      </w:r>
      <w:r>
        <w:t>called dynamic SBFD was discussed where the following agreement was reached to further study:</w:t>
      </w:r>
    </w:p>
    <w:p w14:paraId="3759EC29" w14:textId="77777777" w:rsidR="006041D6" w:rsidRPr="006041D6" w:rsidRDefault="006041D6" w:rsidP="006041D6">
      <w:pPr>
        <w:jc w:val="both"/>
        <w:rPr>
          <w:rFonts w:eastAsia="Malgun Gothic"/>
          <w:b/>
          <w:sz w:val="20"/>
          <w:szCs w:val="20"/>
          <w:highlight w:val="green"/>
        </w:rPr>
      </w:pPr>
      <w:r w:rsidRPr="006041D6">
        <w:rPr>
          <w:rFonts w:eastAsia="Malgun Gothic"/>
          <w:b/>
          <w:sz w:val="20"/>
          <w:szCs w:val="20"/>
          <w:highlight w:val="green"/>
        </w:rPr>
        <w:t>Agreement</w:t>
      </w:r>
    </w:p>
    <w:p w14:paraId="0FC5B87D" w14:textId="77777777" w:rsidR="006041D6" w:rsidRPr="006041D6" w:rsidRDefault="006041D6" w:rsidP="006041D6">
      <w:pPr>
        <w:jc w:val="both"/>
        <w:rPr>
          <w:rFonts w:eastAsia="Malgun Gothic"/>
          <w:sz w:val="20"/>
          <w:szCs w:val="20"/>
        </w:rPr>
      </w:pPr>
      <w:r w:rsidRPr="006041D6">
        <w:rPr>
          <w:rFonts w:eastAsia="Malgun Gothic"/>
          <w:sz w:val="20"/>
          <w:szCs w:val="20"/>
        </w:rPr>
        <w:t>For dynamic SBFD,</w:t>
      </w:r>
    </w:p>
    <w:p w14:paraId="2F4353DA" w14:textId="77777777" w:rsidR="006041D6" w:rsidRPr="006041D6" w:rsidRDefault="006041D6" w:rsidP="006041D6">
      <w:pPr>
        <w:numPr>
          <w:ilvl w:val="1"/>
          <w:numId w:val="33"/>
        </w:numPr>
        <w:jc w:val="both"/>
        <w:rPr>
          <w:rFonts w:eastAsia="Malgun Gothic"/>
          <w:sz w:val="20"/>
          <w:szCs w:val="20"/>
        </w:rPr>
      </w:pPr>
      <w:r w:rsidRPr="006041D6">
        <w:rPr>
          <w:rFonts w:eastAsia="Malgun Gothic"/>
          <w:sz w:val="20"/>
          <w:szCs w:val="20"/>
        </w:rPr>
        <w:t xml:space="preserve">For SBFD-aware UEs, further study whether DL receptions outside semi-statically configured DL subband(s) are allowed or not in a symbol configured as DL in </w:t>
      </w:r>
      <w:r w:rsidRPr="006041D6">
        <w:rPr>
          <w:rFonts w:eastAsia="Malgun Gothic"/>
          <w:i/>
          <w:sz w:val="20"/>
          <w:szCs w:val="20"/>
        </w:rPr>
        <w:t>TDD-UL-DL-ConfigCommon</w:t>
      </w:r>
      <w:r w:rsidRPr="006041D6">
        <w:rPr>
          <w:rFonts w:eastAsia="Malgun Gothic"/>
          <w:sz w:val="20"/>
          <w:szCs w:val="20"/>
        </w:rPr>
        <w:t xml:space="preserve"> based on the following options:</w:t>
      </w:r>
    </w:p>
    <w:p w14:paraId="44F48DC3"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Option 1 (semi-static): DL receptions outside semi-statically configured DL subband(s) are not allowed</w:t>
      </w:r>
    </w:p>
    <w:p w14:paraId="74EF5B30"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2: DL receptions outside semi-statically configured DL subband(s) are allowed </w:t>
      </w:r>
    </w:p>
    <w:p w14:paraId="1D8A291D" w14:textId="77777777" w:rsidR="006041D6" w:rsidRPr="006041D6" w:rsidRDefault="006041D6" w:rsidP="006041D6">
      <w:pPr>
        <w:numPr>
          <w:ilvl w:val="1"/>
          <w:numId w:val="33"/>
        </w:numPr>
        <w:jc w:val="both"/>
        <w:rPr>
          <w:rFonts w:eastAsia="Malgun Gothic"/>
          <w:sz w:val="20"/>
          <w:szCs w:val="20"/>
        </w:rPr>
      </w:pPr>
      <w:r w:rsidRPr="006041D6">
        <w:rPr>
          <w:rFonts w:eastAsia="Malgun Gothic"/>
          <w:sz w:val="20"/>
          <w:szCs w:val="20"/>
        </w:rPr>
        <w:t xml:space="preserve">For SBFD-aware UEs, further study whether DL receptions outside semi-statically configured DL subband(s) and UL transmissions outside semi-statically configured UL subband are allowed or not in the symbol configured as flexible in </w:t>
      </w:r>
      <w:r w:rsidRPr="006041D6">
        <w:rPr>
          <w:rFonts w:eastAsia="Malgun Gothic"/>
          <w:i/>
          <w:sz w:val="20"/>
          <w:szCs w:val="20"/>
        </w:rPr>
        <w:t>TDD-UL-DL-ConfigCommon</w:t>
      </w:r>
      <w:r w:rsidRPr="006041D6">
        <w:rPr>
          <w:rFonts w:eastAsia="Malgun Gothic"/>
          <w:sz w:val="20"/>
          <w:szCs w:val="20"/>
        </w:rPr>
        <w:t xml:space="preserve"> based on the following options:</w:t>
      </w:r>
    </w:p>
    <w:p w14:paraId="58580DEF"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Option 1 (semi-static): DL receptions outside semi-statically configured DL subband(s) are not allowed and UL transmissions outside semi-statically configured UL subband are not allowed</w:t>
      </w:r>
    </w:p>
    <w:p w14:paraId="451B5FD8"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2: DL receptions outside semi-statically configured DL subband(s) are allowed </w:t>
      </w:r>
    </w:p>
    <w:p w14:paraId="4638A906" w14:textId="77777777" w:rsidR="006041D6" w:rsidRPr="006041D6" w:rsidRDefault="006041D6" w:rsidP="006041D6">
      <w:pPr>
        <w:pStyle w:val="ListParagraph"/>
        <w:numPr>
          <w:ilvl w:val="3"/>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UL transmissions outside the semi-statically configured UL subbands are not allowed</w:t>
      </w:r>
    </w:p>
    <w:p w14:paraId="06B936EE"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Option 3: DL receptions outside semi-statically configured DL subband(s) are allowed</w:t>
      </w:r>
    </w:p>
    <w:p w14:paraId="0A7D0395" w14:textId="77777777" w:rsidR="006041D6" w:rsidRPr="006041D6" w:rsidRDefault="006041D6" w:rsidP="006041D6">
      <w:pPr>
        <w:pStyle w:val="ListParagraph"/>
        <w:numPr>
          <w:ilvl w:val="3"/>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UL transmissions outside the semi-statically configured UL subbands are allowed</w:t>
      </w:r>
    </w:p>
    <w:p w14:paraId="78FF2AAA" w14:textId="77777777" w:rsidR="006041D6" w:rsidRPr="006041D6" w:rsidRDefault="006041D6" w:rsidP="006041D6">
      <w:pPr>
        <w:tabs>
          <w:tab w:val="left" w:pos="0"/>
        </w:tabs>
        <w:jc w:val="both"/>
        <w:rPr>
          <w:rFonts w:eastAsia="Malgun Gothic"/>
          <w:sz w:val="20"/>
          <w:szCs w:val="20"/>
        </w:rPr>
      </w:pPr>
      <w:r w:rsidRPr="006041D6">
        <w:rPr>
          <w:rFonts w:eastAsia="Malgun Gothic"/>
          <w:sz w:val="20"/>
          <w:szCs w:val="20"/>
        </w:rPr>
        <w:t>Dynamic SBFD should be compared with dynamic TDD and/or semi-static SBFD in terms of performance, implementation complexity, switching latency.</w:t>
      </w:r>
    </w:p>
    <w:p w14:paraId="7014BD28" w14:textId="1E10753E" w:rsidR="006041D6" w:rsidRPr="006041D6" w:rsidRDefault="006041D6" w:rsidP="006041D6">
      <w:pPr>
        <w:tabs>
          <w:tab w:val="left" w:pos="0"/>
        </w:tabs>
        <w:jc w:val="both"/>
        <w:rPr>
          <w:rFonts w:eastAsia="Malgun Gothic"/>
          <w:sz w:val="20"/>
          <w:szCs w:val="20"/>
        </w:rPr>
      </w:pPr>
      <w:r w:rsidRPr="006041D6">
        <w:rPr>
          <w:rFonts w:eastAsia="Malgun Gothic"/>
          <w:sz w:val="20"/>
          <w:szCs w:val="20"/>
        </w:rPr>
        <w:t>For each option, additional conditions may apply to determine whether the option is applicable.</w:t>
      </w:r>
    </w:p>
    <w:p w14:paraId="02166DA8" w14:textId="77777777" w:rsidR="006041D6" w:rsidRDefault="006041D6" w:rsidP="006041D6">
      <w:pPr>
        <w:pStyle w:val="0Maintext"/>
        <w:spacing w:after="120" w:afterAutospacing="0" w:line="240" w:lineRule="auto"/>
        <w:ind w:firstLine="0"/>
        <w:rPr>
          <w:b/>
          <w:bCs/>
          <w:lang w:val="en-US" w:eastAsia="zh-CN"/>
        </w:rPr>
      </w:pPr>
    </w:p>
    <w:p w14:paraId="6F8A0C45" w14:textId="460A81E1" w:rsidR="006041D6" w:rsidRPr="006041D6" w:rsidRDefault="006041D6" w:rsidP="006041D6">
      <w:pPr>
        <w:pStyle w:val="0Maintext"/>
        <w:spacing w:after="120" w:afterAutospacing="0" w:line="240" w:lineRule="auto"/>
        <w:ind w:firstLine="0"/>
        <w:rPr>
          <w:lang w:val="en-US" w:eastAsia="zh-CN"/>
        </w:rPr>
      </w:pPr>
      <w:r w:rsidRPr="006041D6">
        <w:rPr>
          <w:lang w:val="en-US" w:eastAsia="zh-CN"/>
        </w:rPr>
        <w:lastRenderedPageBreak/>
        <w:t>In our view, if a RRC configured SBFD symbol/slot is overridden by a dynamic grant, some preparation timeline</w:t>
      </w:r>
      <w:r w:rsidR="004968EE">
        <w:rPr>
          <w:lang w:val="en-US" w:eastAsia="zh-CN"/>
        </w:rPr>
        <w:t xml:space="preserve"> required at the UE side</w:t>
      </w:r>
      <w:r w:rsidRPr="006041D6">
        <w:rPr>
          <w:lang w:val="en-US" w:eastAsia="zh-CN"/>
        </w:rPr>
        <w:t xml:space="preserve"> is needed to be met by </w:t>
      </w:r>
      <w:r w:rsidR="004968EE">
        <w:rPr>
          <w:lang w:val="en-US" w:eastAsia="zh-CN"/>
        </w:rPr>
        <w:t xml:space="preserve">the </w:t>
      </w:r>
      <w:r w:rsidRPr="006041D6">
        <w:rPr>
          <w:lang w:val="en-US" w:eastAsia="zh-CN"/>
        </w:rPr>
        <w:t xml:space="preserve">scheduler. Such a timeline is defined between the last symbol of DCI indicating overriding SBFD configuration and the first symbol of the dynamic grant (or the first SBFD symbol, whichever comes earlier). This timeline is needed similar to BWP switching, especially if a dynamic grant indicates UL transmission outside UL sub-band. </w:t>
      </w:r>
      <w:r>
        <w:rPr>
          <w:lang w:val="en-US" w:eastAsia="zh-CN"/>
        </w:rPr>
        <w:t>Given that performance benefit for SBFD operation in general, and dynamic overriding of SBFD configuration in specific, is not clear yet, we prefer to de-prioritize this aspect. Having said that, we have the following proposal</w:t>
      </w:r>
      <w:r w:rsidR="00B46FAB">
        <w:rPr>
          <w:lang w:val="en-US" w:eastAsia="zh-CN"/>
        </w:rPr>
        <w:t>:</w:t>
      </w:r>
    </w:p>
    <w:p w14:paraId="2896AC3A" w14:textId="5F892A85" w:rsidR="006041D6" w:rsidRDefault="006041D6" w:rsidP="00F171C0">
      <w:pPr>
        <w:pStyle w:val="0Maintext"/>
        <w:spacing w:after="120" w:afterAutospacing="0" w:line="240" w:lineRule="auto"/>
        <w:ind w:firstLine="0"/>
        <w:rPr>
          <w:rFonts w:eastAsia="Malgun Gothic" w:cs="Times New Roman"/>
          <w:lang w:eastAsia="zh-CN"/>
        </w:rPr>
      </w:pPr>
      <w:r w:rsidRPr="00F61A78">
        <w:rPr>
          <w:b/>
          <w:bCs/>
          <w:lang w:val="en-US" w:eastAsia="zh-CN"/>
        </w:rPr>
        <w:t xml:space="preserve">Proposal </w:t>
      </w:r>
      <w:r w:rsidR="008C7981">
        <w:rPr>
          <w:b/>
          <w:bCs/>
          <w:lang w:val="en-US" w:eastAsia="zh-CN"/>
        </w:rPr>
        <w:t>1</w:t>
      </w:r>
      <w:r w:rsidRPr="00F61A78">
        <w:rPr>
          <w:lang w:val="en-US" w:eastAsia="zh-CN"/>
        </w:rPr>
        <w:t xml:space="preserve">: </w:t>
      </w:r>
      <w:r w:rsidRPr="006041D6">
        <w:rPr>
          <w:rFonts w:eastAsia="Malgun Gothic" w:cs="Times New Roman"/>
          <w:lang w:eastAsia="zh-CN"/>
        </w:rPr>
        <w:t>For SBFD-aware UEs</w:t>
      </w:r>
      <w:r>
        <w:rPr>
          <w:rFonts w:eastAsia="Malgun Gothic" w:cs="Times New Roman"/>
          <w:lang w:eastAsia="zh-CN"/>
        </w:rPr>
        <w:t xml:space="preserve">, </w:t>
      </w:r>
      <w:r w:rsidRPr="006041D6">
        <w:rPr>
          <w:rFonts w:eastAsia="Malgun Gothic" w:cs="Times New Roman"/>
          <w:lang w:eastAsia="zh-CN"/>
        </w:rPr>
        <w:t xml:space="preserve">DL receptions outside semi-statically configured DL subband(s) </w:t>
      </w:r>
      <w:r>
        <w:rPr>
          <w:rFonts w:eastAsia="Malgun Gothic" w:cs="Times New Roman"/>
          <w:lang w:eastAsia="zh-CN"/>
        </w:rPr>
        <w:t>or</w:t>
      </w:r>
      <w:r w:rsidRPr="006041D6">
        <w:rPr>
          <w:rFonts w:eastAsia="Malgun Gothic" w:cs="Times New Roman"/>
          <w:lang w:eastAsia="zh-CN"/>
        </w:rPr>
        <w:t xml:space="preserve"> UL transmissions outside semi-statically configured UL subband are not allowed</w:t>
      </w:r>
      <w:r>
        <w:rPr>
          <w:rFonts w:eastAsia="Malgun Gothic" w:cs="Times New Roman"/>
          <w:lang w:eastAsia="zh-CN"/>
        </w:rPr>
        <w:t>.</w:t>
      </w:r>
    </w:p>
    <w:p w14:paraId="6AFEF62A" w14:textId="77777777" w:rsidR="00A7276B" w:rsidRDefault="00A7276B" w:rsidP="00F171C0">
      <w:pPr>
        <w:pStyle w:val="0Maintext"/>
        <w:spacing w:after="120" w:afterAutospacing="0" w:line="240" w:lineRule="auto"/>
        <w:ind w:firstLine="0"/>
        <w:rPr>
          <w:rFonts w:eastAsia="Malgun Gothic" w:cs="Times"/>
        </w:rPr>
      </w:pPr>
    </w:p>
    <w:p w14:paraId="552B3864" w14:textId="22C1F407" w:rsidR="008C7981" w:rsidRPr="008C7981" w:rsidRDefault="008C7981" w:rsidP="008C7981">
      <w:pPr>
        <w:pStyle w:val="0Maintext"/>
        <w:spacing w:after="120" w:afterAutospacing="0" w:line="240" w:lineRule="auto"/>
        <w:ind w:firstLine="0"/>
        <w:rPr>
          <w:rFonts w:eastAsia="Malgun Gothic" w:cs="Times"/>
        </w:rPr>
      </w:pPr>
      <w:r w:rsidRPr="008C7981">
        <w:rPr>
          <w:rFonts w:eastAsia="Malgun Gothic" w:cs="Times"/>
        </w:rPr>
        <w:t xml:space="preserve">In addition, there </w:t>
      </w:r>
      <w:r>
        <w:rPr>
          <w:rFonts w:eastAsia="Malgun Gothic" w:cs="Times"/>
        </w:rPr>
        <w:t>seems to be</w:t>
      </w:r>
      <w:r w:rsidRPr="008C7981">
        <w:rPr>
          <w:rFonts w:eastAsia="Malgun Gothic" w:cs="Times"/>
        </w:rPr>
        <w:t xml:space="preserve"> different understanding of </w:t>
      </w:r>
      <w:r>
        <w:rPr>
          <w:rFonts w:eastAsia="Malgun Gothic" w:cs="Times"/>
        </w:rPr>
        <w:t>how dynamic SBFD could be supported, if any.</w:t>
      </w:r>
      <w:r w:rsidRPr="008C7981">
        <w:rPr>
          <w:rFonts w:eastAsia="Malgun Gothic" w:cs="Times"/>
        </w:rPr>
        <w:t xml:space="preserve"> </w:t>
      </w:r>
      <w:r>
        <w:rPr>
          <w:rFonts w:eastAsia="Malgun Gothic" w:cs="Times"/>
        </w:rPr>
        <w:t xml:space="preserve">In RAN1#113, </w:t>
      </w:r>
      <w:r>
        <w:rPr>
          <w:rFonts w:eastAsiaTheme="minorEastAsia"/>
          <w:lang w:eastAsia="zh-CN"/>
        </w:rPr>
        <w:t>the</w:t>
      </w:r>
      <w:r w:rsidRPr="008C7981">
        <w:rPr>
          <w:rFonts w:eastAsiaTheme="minorEastAsia"/>
          <w:lang w:eastAsia="zh-CN"/>
        </w:rPr>
        <w:t xml:space="preserve"> following options</w:t>
      </w:r>
      <w:r w:rsidRPr="008C7981">
        <w:rPr>
          <w:rFonts w:eastAsiaTheme="minorEastAsia" w:hint="eastAsia"/>
          <w:lang w:eastAsia="zh-CN"/>
        </w:rPr>
        <w:t xml:space="preserve"> </w:t>
      </w:r>
      <w:r>
        <w:rPr>
          <w:rFonts w:eastAsiaTheme="minorEastAsia"/>
          <w:lang w:eastAsia="zh-CN"/>
        </w:rPr>
        <w:t>was</w:t>
      </w:r>
      <w:r w:rsidRPr="008C7981">
        <w:rPr>
          <w:rFonts w:eastAsiaTheme="minorEastAsia" w:hint="eastAsia"/>
          <w:lang w:eastAsia="zh-CN"/>
        </w:rPr>
        <w:t xml:space="preserve"> considered</w:t>
      </w:r>
      <w:r w:rsidRPr="008C7981">
        <w:rPr>
          <w:rFonts w:eastAsiaTheme="minorEastAsia"/>
          <w:lang w:eastAsia="zh-CN"/>
        </w:rPr>
        <w:t xml:space="preserve"> </w:t>
      </w:r>
      <w:r w:rsidRPr="008C7981">
        <w:rPr>
          <w:rFonts w:eastAsiaTheme="minorEastAsia" w:hint="eastAsia"/>
          <w:lang w:eastAsia="zh-CN"/>
        </w:rPr>
        <w:t xml:space="preserve">to support </w:t>
      </w:r>
      <w:r w:rsidRPr="008C7981">
        <w:rPr>
          <w:rFonts w:eastAsiaTheme="minorEastAsia"/>
          <w:lang w:eastAsia="zh-CN"/>
        </w:rPr>
        <w:t>dynamic SBFD</w:t>
      </w:r>
      <w:r w:rsidRPr="008C7981">
        <w:rPr>
          <w:rFonts w:eastAsiaTheme="minorEastAsia" w:hint="eastAsia"/>
          <w:lang w:eastAsia="zh-CN"/>
        </w:rPr>
        <w:t>, if agreed</w:t>
      </w:r>
      <w:r w:rsidRPr="008C7981">
        <w:rPr>
          <w:rFonts w:eastAsiaTheme="minorEastAsia"/>
          <w:lang w:eastAsia="zh-CN"/>
        </w:rPr>
        <w:t>.</w:t>
      </w:r>
    </w:p>
    <w:p w14:paraId="761F3150" w14:textId="77777777" w:rsidR="008C7981" w:rsidRPr="008C7981" w:rsidRDefault="008C7981" w:rsidP="008C7981">
      <w:pPr>
        <w:pStyle w:val="2"/>
        <w:numPr>
          <w:ilvl w:val="0"/>
          <w:numId w:val="37"/>
        </w:numPr>
        <w:spacing w:line="259" w:lineRule="auto"/>
        <w:jc w:val="both"/>
        <w:rPr>
          <w:rFonts w:ascii="Times New Roman" w:eastAsiaTheme="minorEastAsia" w:hAnsi="Times New Roman" w:cs="Times New Roman"/>
          <w:lang w:eastAsia="zh-CN"/>
        </w:rPr>
      </w:pPr>
      <w:r w:rsidRPr="008C7981">
        <w:rPr>
          <w:rFonts w:ascii="Times New Roman" w:eastAsiaTheme="minorEastAsia" w:hAnsi="Times New Roman" w:cs="Times New Roman"/>
          <w:lang w:eastAsia="zh-CN"/>
        </w:rPr>
        <w:t xml:space="preserve">Option 1: Dynamic SBFD is achieved by </w:t>
      </w:r>
      <w:r w:rsidRPr="008C7981">
        <w:rPr>
          <w:rFonts w:ascii="Times New Roman" w:eastAsiaTheme="minorEastAsia" w:hAnsi="Times New Roman" w:cs="Times New Roman" w:hint="eastAsia"/>
          <w:lang w:eastAsia="zh-CN"/>
        </w:rPr>
        <w:t xml:space="preserve">scheduling DCI which is used to indicate whether the RBs in </w:t>
      </w:r>
      <w:r w:rsidRPr="008C7981">
        <w:rPr>
          <w:rFonts w:ascii="Times New Roman" w:eastAsiaTheme="minorEastAsia" w:hAnsi="Times New Roman" w:cs="Times New Roman"/>
          <w:lang w:eastAsia="zh-CN"/>
        </w:rPr>
        <w:t xml:space="preserve">flexible subband </w:t>
      </w:r>
      <w:r w:rsidRPr="008C7981">
        <w:rPr>
          <w:rFonts w:ascii="Times New Roman" w:eastAsiaTheme="minorEastAsia" w:hAnsi="Times New Roman" w:cs="Times New Roman" w:hint="eastAsia"/>
          <w:lang w:eastAsia="zh-CN"/>
        </w:rPr>
        <w:t xml:space="preserve">are </w:t>
      </w:r>
      <w:r w:rsidRPr="008C7981">
        <w:rPr>
          <w:rFonts w:ascii="Times New Roman" w:eastAsiaTheme="minorEastAsia" w:hAnsi="Times New Roman" w:cs="Times New Roman"/>
          <w:lang w:eastAsia="zh-CN"/>
        </w:rPr>
        <w:t xml:space="preserve">used for UL transmission </w:t>
      </w:r>
      <w:r w:rsidRPr="008C7981">
        <w:rPr>
          <w:rFonts w:ascii="Times New Roman" w:eastAsiaTheme="minorEastAsia" w:hAnsi="Times New Roman" w:cs="Times New Roman" w:hint="eastAsia"/>
          <w:lang w:eastAsia="zh-CN"/>
        </w:rPr>
        <w:t>or</w:t>
      </w:r>
      <w:r w:rsidRPr="008C7981">
        <w:rPr>
          <w:rFonts w:ascii="Times New Roman" w:eastAsiaTheme="minorEastAsia" w:hAnsi="Times New Roman" w:cs="Times New Roman"/>
          <w:lang w:eastAsia="zh-CN"/>
        </w:rPr>
        <w:t xml:space="preserve"> DL transmission. </w:t>
      </w:r>
    </w:p>
    <w:p w14:paraId="25B3B3DD" w14:textId="77777777" w:rsidR="008C7981" w:rsidRPr="008C7981" w:rsidRDefault="008C7981" w:rsidP="008C7981">
      <w:pPr>
        <w:pStyle w:val="2"/>
        <w:numPr>
          <w:ilvl w:val="1"/>
          <w:numId w:val="37"/>
        </w:numPr>
        <w:spacing w:line="259" w:lineRule="auto"/>
        <w:jc w:val="both"/>
        <w:rPr>
          <w:rFonts w:ascii="Times New Roman" w:eastAsiaTheme="minorEastAsia" w:hAnsi="Times New Roman" w:cs="Times New Roman"/>
          <w:lang w:eastAsia="zh-CN"/>
        </w:rPr>
      </w:pPr>
      <w:r w:rsidRPr="008C7981">
        <w:rPr>
          <w:rFonts w:ascii="Times New Roman" w:eastAsiaTheme="minorEastAsia" w:hAnsi="Times New Roman" w:cs="Times New Roman" w:hint="eastAsia"/>
          <w:lang w:eastAsia="zh-CN"/>
        </w:rPr>
        <w:t>F</w:t>
      </w:r>
      <w:r w:rsidRPr="008C7981">
        <w:rPr>
          <w:rFonts w:ascii="Times New Roman" w:eastAsiaTheme="minorEastAsia" w:hAnsi="Times New Roman" w:cs="Times New Roman"/>
          <w:lang w:eastAsia="zh-CN"/>
        </w:rPr>
        <w:t xml:space="preserve">lexible subband is defined as 1 RB or a set of consecutive flexible RBs, which can be used for UL transmission, DL transmission, and guard band </w:t>
      </w:r>
    </w:p>
    <w:p w14:paraId="7A07EB0A" w14:textId="77777777" w:rsidR="008C7981" w:rsidRPr="008C7981" w:rsidRDefault="008C7981" w:rsidP="008C7981">
      <w:pPr>
        <w:pStyle w:val="2"/>
        <w:numPr>
          <w:ilvl w:val="0"/>
          <w:numId w:val="37"/>
        </w:numPr>
        <w:spacing w:line="259" w:lineRule="auto"/>
        <w:jc w:val="both"/>
        <w:rPr>
          <w:rFonts w:ascii="Times New Roman" w:eastAsiaTheme="minorEastAsia" w:hAnsi="Times New Roman" w:cs="Times New Roman"/>
          <w:lang w:eastAsia="zh-CN"/>
        </w:rPr>
      </w:pPr>
      <w:r w:rsidRPr="008C7981">
        <w:rPr>
          <w:rFonts w:ascii="Times New Roman" w:eastAsiaTheme="minorEastAsia" w:hAnsi="Times New Roman" w:cs="Times New Roman"/>
          <w:lang w:eastAsia="zh-CN"/>
        </w:rPr>
        <w:t>Option 2: Dynamic SBFD is achieved by scheduling DCI which is used to determine whether DL receptions outside</w:t>
      </w:r>
      <w:r w:rsidRPr="008C7981">
        <w:t xml:space="preserve"> </w:t>
      </w:r>
      <w:r w:rsidRPr="008C7981">
        <w:rPr>
          <w:rFonts w:ascii="Times New Roman" w:eastAsiaTheme="minorEastAsia" w:hAnsi="Times New Roman" w:cs="Times New Roman"/>
          <w:lang w:eastAsia="zh-CN"/>
        </w:rPr>
        <w:t>semi-statically configured DL subband and/or UL transmission outside</w:t>
      </w:r>
      <w:r w:rsidRPr="008C7981">
        <w:t xml:space="preserve"> </w:t>
      </w:r>
      <w:r w:rsidRPr="008C7981">
        <w:rPr>
          <w:rFonts w:ascii="Times New Roman" w:eastAsiaTheme="minorEastAsia" w:hAnsi="Times New Roman" w:cs="Times New Roman"/>
          <w:lang w:eastAsia="zh-CN"/>
        </w:rPr>
        <w:t>semi-statically configured UL subband</w:t>
      </w:r>
      <w:r w:rsidRPr="008C7981">
        <w:t xml:space="preserve"> </w:t>
      </w:r>
      <w:r w:rsidRPr="008C7981">
        <w:rPr>
          <w:rFonts w:ascii="Times New Roman" w:eastAsiaTheme="minorEastAsia" w:hAnsi="Times New Roman" w:cs="Times New Roman"/>
          <w:lang w:eastAsia="zh-CN"/>
        </w:rPr>
        <w:t>are allowed.</w:t>
      </w:r>
    </w:p>
    <w:p w14:paraId="1CD0E2F5" w14:textId="77777777" w:rsidR="008C7981" w:rsidRPr="008C7981" w:rsidRDefault="008C7981" w:rsidP="008C7981">
      <w:pPr>
        <w:pStyle w:val="2"/>
        <w:numPr>
          <w:ilvl w:val="0"/>
          <w:numId w:val="37"/>
        </w:numPr>
        <w:spacing w:line="259" w:lineRule="auto"/>
        <w:jc w:val="both"/>
        <w:rPr>
          <w:rFonts w:ascii="Times New Roman" w:eastAsiaTheme="minorEastAsia" w:hAnsi="Times New Roman" w:cs="Times New Roman"/>
          <w:lang w:eastAsia="zh-CN"/>
        </w:rPr>
      </w:pPr>
      <w:r w:rsidRPr="008C7981">
        <w:rPr>
          <w:rFonts w:ascii="Times New Roman" w:eastAsiaTheme="minorEastAsia" w:hAnsi="Times New Roman" w:cs="Times New Roman"/>
          <w:lang w:eastAsia="zh-CN"/>
        </w:rPr>
        <w:t>Option 3: Dynamic SBFD is achieved by non-scheduling DCI which indicates whether a symbol is SBFD symbol or not.</w:t>
      </w:r>
    </w:p>
    <w:p w14:paraId="655A52E6" w14:textId="5E3AFE96" w:rsidR="008C7981" w:rsidRPr="007C2F6F" w:rsidRDefault="008C7981" w:rsidP="007C2F6F">
      <w:pPr>
        <w:pStyle w:val="2"/>
        <w:numPr>
          <w:ilvl w:val="0"/>
          <w:numId w:val="37"/>
        </w:numPr>
        <w:spacing w:line="259" w:lineRule="auto"/>
        <w:jc w:val="both"/>
        <w:rPr>
          <w:rFonts w:ascii="Times New Roman" w:eastAsiaTheme="minorEastAsia" w:hAnsi="Times New Roman" w:cs="Times New Roman"/>
          <w:lang w:eastAsia="zh-CN"/>
        </w:rPr>
      </w:pPr>
      <w:r w:rsidRPr="008C7981">
        <w:rPr>
          <w:rFonts w:ascii="Times New Roman" w:eastAsiaTheme="minorEastAsia" w:hAnsi="Times New Roman" w:cs="Times New Roman" w:hint="eastAsia"/>
          <w:lang w:eastAsia="zh-CN"/>
        </w:rPr>
        <w:t xml:space="preserve">Option 4: </w:t>
      </w:r>
      <w:r w:rsidRPr="008C7981">
        <w:rPr>
          <w:rFonts w:ascii="Times New Roman" w:eastAsiaTheme="minorEastAsia" w:hAnsi="Times New Roman" w:cs="Times New Roman"/>
          <w:lang w:eastAsia="zh-CN"/>
        </w:rPr>
        <w:t xml:space="preserve">Dynamic SBFD is achieved by </w:t>
      </w:r>
      <w:r w:rsidRPr="008C7981">
        <w:rPr>
          <w:rFonts w:ascii="Times New Roman" w:eastAsiaTheme="minorEastAsia" w:hAnsi="Times New Roman" w:cs="Times New Roman" w:hint="eastAsia"/>
          <w:lang w:eastAsia="zh-CN"/>
        </w:rPr>
        <w:t>MAC-CE</w:t>
      </w:r>
      <w:r w:rsidRPr="008C7981">
        <w:rPr>
          <w:rFonts w:ascii="Times New Roman" w:eastAsiaTheme="minorEastAsia" w:hAnsi="Times New Roman" w:cs="Times New Roman"/>
          <w:lang w:eastAsia="zh-CN"/>
        </w:rPr>
        <w:t xml:space="preserve"> which indicates whether a symbol is SBFD symbol or not.</w:t>
      </w:r>
    </w:p>
    <w:p w14:paraId="0512164A" w14:textId="7963D212" w:rsidR="008C7981" w:rsidRDefault="008C7981" w:rsidP="00F171C0">
      <w:pPr>
        <w:pStyle w:val="0Maintext"/>
        <w:spacing w:after="120" w:afterAutospacing="0" w:line="240" w:lineRule="auto"/>
        <w:ind w:firstLine="0"/>
        <w:rPr>
          <w:rFonts w:eastAsia="Malgun Gothic" w:cs="Times"/>
        </w:rPr>
      </w:pPr>
      <w:r>
        <w:rPr>
          <w:rFonts w:eastAsia="Malgun Gothic" w:cs="Times"/>
        </w:rPr>
        <w:t>In our view:</w:t>
      </w:r>
    </w:p>
    <w:p w14:paraId="6FF2C1F6" w14:textId="07AFCDBE" w:rsidR="008C7981" w:rsidRDefault="008C7981" w:rsidP="008C7981">
      <w:pPr>
        <w:pStyle w:val="0Maintext"/>
        <w:numPr>
          <w:ilvl w:val="0"/>
          <w:numId w:val="38"/>
        </w:numPr>
        <w:spacing w:after="120" w:afterAutospacing="0" w:line="240" w:lineRule="auto"/>
        <w:rPr>
          <w:rFonts w:eastAsia="Malgun Gothic" w:cs="Times"/>
        </w:rPr>
      </w:pPr>
      <w:r>
        <w:rPr>
          <w:rFonts w:eastAsia="Malgun Gothic" w:cs="Times"/>
        </w:rPr>
        <w:t>Option 1 is problematic, given that flexible sub-bands is not implementation friendly (it is like to have flexible BWP, something that was never specified, unless possibly under dynamic BWP switching</w:t>
      </w:r>
      <w:r w:rsidR="000C2A74">
        <w:rPr>
          <w:rFonts w:eastAsia="Malgun Gothic" w:cs="Times"/>
        </w:rPr>
        <w:t xml:space="preserve"> where switching timeline shall be met).</w:t>
      </w:r>
    </w:p>
    <w:p w14:paraId="67996526" w14:textId="2B4561F4" w:rsidR="008C7981" w:rsidRDefault="008C7981" w:rsidP="008C7981">
      <w:pPr>
        <w:pStyle w:val="0Maintext"/>
        <w:numPr>
          <w:ilvl w:val="0"/>
          <w:numId w:val="38"/>
        </w:numPr>
        <w:spacing w:after="120" w:afterAutospacing="0" w:line="240" w:lineRule="auto"/>
        <w:rPr>
          <w:rFonts w:eastAsia="Malgun Gothic" w:cs="Times"/>
        </w:rPr>
      </w:pPr>
      <w:r>
        <w:rPr>
          <w:rFonts w:eastAsia="Malgun Gothic" w:cs="Times"/>
        </w:rPr>
        <w:t xml:space="preserve">Option 2 is closest to our understanding of dynamic SBFD, </w:t>
      </w:r>
      <w:r w:rsidR="000C2A74">
        <w:rPr>
          <w:rFonts w:eastAsia="Malgun Gothic" w:cs="Times"/>
        </w:rPr>
        <w:t>which we discussed above under Proposal 1.</w:t>
      </w:r>
    </w:p>
    <w:p w14:paraId="61B15931" w14:textId="0D780F1B" w:rsidR="000C2A74" w:rsidRDefault="000C2A74" w:rsidP="008C7981">
      <w:pPr>
        <w:pStyle w:val="0Maintext"/>
        <w:numPr>
          <w:ilvl w:val="0"/>
          <w:numId w:val="38"/>
        </w:numPr>
        <w:spacing w:after="120" w:afterAutospacing="0" w:line="240" w:lineRule="auto"/>
        <w:rPr>
          <w:rFonts w:eastAsia="Malgun Gothic" w:cs="Times"/>
        </w:rPr>
      </w:pPr>
      <w:r>
        <w:rPr>
          <w:rFonts w:eastAsia="Malgun Gothic" w:cs="Times"/>
        </w:rPr>
        <w:t>Option 3 and Option 4 can be considered in R19, if work item is agreed.</w:t>
      </w:r>
    </w:p>
    <w:p w14:paraId="2FA69433" w14:textId="77777777" w:rsidR="0047056B" w:rsidRDefault="0047056B" w:rsidP="00B46FAB">
      <w:pPr>
        <w:jc w:val="both"/>
        <w:rPr>
          <w:rFonts w:eastAsia="Malgun Gothic" w:cs="Times"/>
          <w:sz w:val="20"/>
          <w:szCs w:val="20"/>
        </w:rPr>
      </w:pPr>
    </w:p>
    <w:p w14:paraId="6EEBB5E9" w14:textId="5120F86B" w:rsidR="00B46FAB" w:rsidRPr="0047056B" w:rsidRDefault="0047056B" w:rsidP="0047056B">
      <w:pPr>
        <w:pStyle w:val="0Maintext"/>
        <w:spacing w:after="0" w:afterAutospacing="0" w:line="240" w:lineRule="auto"/>
        <w:ind w:firstLine="0"/>
        <w:rPr>
          <w:rFonts w:eastAsia="Malgun Gothic" w:cs="Times"/>
          <w:color w:val="000000" w:themeColor="text1"/>
          <w:lang w:val="en-US"/>
        </w:rPr>
      </w:pPr>
      <w:r>
        <w:rPr>
          <w:rFonts w:eastAsia="Malgun Gothic" w:cs="Times"/>
          <w:color w:val="000000" w:themeColor="text1"/>
          <w:lang w:val="en-US"/>
        </w:rPr>
        <w:t xml:space="preserve">In RAN1#112b-e, the case </w:t>
      </w:r>
      <w:r w:rsidRPr="007B5B40">
        <w:rPr>
          <w:rFonts w:eastAsia="Malgun Gothic" w:cs="Times"/>
          <w:color w:val="000000" w:themeColor="text1"/>
          <w:lang w:val="en-US"/>
        </w:rPr>
        <w:t>whether the transmission/reception occasion of a physical channel/signal can be mapped to SBFD and non-SBFD symbols within a slot</w:t>
      </w:r>
      <w:r w:rsidRPr="007B5B40">
        <w:rPr>
          <w:rFonts w:eastAsia="Malgun Gothic" w:cs="Times" w:hint="eastAsia"/>
          <w:color w:val="000000" w:themeColor="text1"/>
          <w:lang w:val="en-US"/>
        </w:rPr>
        <w:t xml:space="preserve"> for a UE</w:t>
      </w:r>
      <w:r>
        <w:rPr>
          <w:rFonts w:eastAsia="Malgun Gothic" w:cs="Times"/>
          <w:color w:val="000000" w:themeColor="text1"/>
          <w:lang w:val="en-US"/>
        </w:rPr>
        <w:t xml:space="preserve">, was further discussed. </w:t>
      </w:r>
      <w:r w:rsidR="00A7276B">
        <w:rPr>
          <w:rFonts w:eastAsia="Malgun Gothic" w:cs="Times"/>
        </w:rPr>
        <w:t>For a</w:t>
      </w:r>
      <w:r w:rsidR="00A7276B" w:rsidRPr="00A7276B">
        <w:rPr>
          <w:rFonts w:eastAsia="Malgun Gothic" w:cs="Times"/>
        </w:rPr>
        <w:t xml:space="preserve"> SBFD aware UE, UE behavior in non-SBFD and SBFD symbols may require different complexities/capabilities</w:t>
      </w:r>
      <w:r w:rsidR="00A7276B">
        <w:rPr>
          <w:rFonts w:eastAsia="Malgun Gothic" w:cs="Times"/>
        </w:rPr>
        <w:t xml:space="preserve">. </w:t>
      </w:r>
      <w:r w:rsidR="00A7276B" w:rsidRPr="00A7276B">
        <w:rPr>
          <w:rFonts w:eastAsia="Malgun Gothic" w:cs="Times"/>
        </w:rPr>
        <w:t xml:space="preserve">For example, if a PUSCH transmission occasion within a slot spans </w:t>
      </w:r>
      <w:r w:rsidR="00A7276B">
        <w:rPr>
          <w:rFonts w:eastAsia="Malgun Gothic" w:cs="Times"/>
        </w:rPr>
        <w:t>both</w:t>
      </w:r>
      <w:r w:rsidR="00A7276B" w:rsidRPr="00A7276B">
        <w:rPr>
          <w:rFonts w:eastAsia="Malgun Gothic" w:cs="Times"/>
        </w:rPr>
        <w:t xml:space="preserve"> SBFD and non-SBFD (i.e. legacy TDD) symbols, UE may have to apply different transmission power to the same PUSCH on different symbols, which is NOT desired</w:t>
      </w:r>
      <w:r w:rsidR="00A7276B">
        <w:rPr>
          <w:rFonts w:eastAsia="Malgun Gothic" w:cs="Times"/>
        </w:rPr>
        <w:t>.</w:t>
      </w:r>
    </w:p>
    <w:p w14:paraId="0A2D18B8" w14:textId="77777777" w:rsidR="00B46FAB" w:rsidRPr="00B46FAB" w:rsidRDefault="00B46FAB" w:rsidP="00B46FAB">
      <w:pPr>
        <w:jc w:val="both"/>
        <w:rPr>
          <w:rFonts w:eastAsia="Malgun Gothic" w:cs="Times"/>
          <w:sz w:val="20"/>
          <w:szCs w:val="20"/>
        </w:rPr>
      </w:pPr>
    </w:p>
    <w:p w14:paraId="07FFA1A6" w14:textId="79C55AD5" w:rsidR="00AD73C4" w:rsidRPr="00135749" w:rsidRDefault="00B46FAB" w:rsidP="00135749">
      <w:pPr>
        <w:pStyle w:val="0Maintext"/>
        <w:spacing w:line="240" w:lineRule="auto"/>
        <w:ind w:firstLine="0"/>
        <w:rPr>
          <w:rFonts w:eastAsia="Malgun Gothic" w:cs="Times"/>
          <w:lang w:val="en-US"/>
        </w:rPr>
      </w:pPr>
      <w:r w:rsidRPr="00B46FAB">
        <w:rPr>
          <w:rFonts w:eastAsia="Malgun Gothic" w:cs="Times"/>
          <w:b/>
          <w:bCs/>
          <w:lang w:val="en-US"/>
        </w:rPr>
        <w:t xml:space="preserve">Proposal </w:t>
      </w:r>
      <w:r w:rsidR="00AE094B">
        <w:rPr>
          <w:rFonts w:eastAsia="Malgun Gothic" w:cs="Times"/>
          <w:b/>
          <w:bCs/>
          <w:lang w:val="en-US"/>
        </w:rPr>
        <w:t>2</w:t>
      </w:r>
      <w:r w:rsidRPr="00B46FAB">
        <w:rPr>
          <w:rFonts w:eastAsia="Malgun Gothic" w:cs="Times"/>
          <w:lang w:val="en-US"/>
        </w:rPr>
        <w:t>: UE does not expect a PUSCH transmission occasion spans in time both SBFD and non-SBFD symbols</w:t>
      </w:r>
      <w:r>
        <w:rPr>
          <w:rFonts w:eastAsia="Malgun Gothic" w:cs="Times"/>
          <w:lang w:val="en-US"/>
        </w:rPr>
        <w:t>.</w:t>
      </w:r>
    </w:p>
    <w:p w14:paraId="18B8B0E5" w14:textId="12240627" w:rsidR="006C1202" w:rsidRPr="00F171C0" w:rsidRDefault="006C1202" w:rsidP="006C1202">
      <w:pPr>
        <w:pStyle w:val="Heading2"/>
      </w:pPr>
      <w:r>
        <w:t>Conflict resolution</w:t>
      </w:r>
    </w:p>
    <w:p w14:paraId="16716EE9" w14:textId="13694588" w:rsidR="006C1202" w:rsidRDefault="00DB0DF0" w:rsidP="00674071">
      <w:pPr>
        <w:pStyle w:val="0Maintext"/>
        <w:spacing w:after="120" w:afterAutospacing="0" w:line="240" w:lineRule="auto"/>
        <w:ind w:firstLine="0"/>
        <w:rPr>
          <w:rFonts w:eastAsia="Malgun Gothic" w:cs="Times"/>
        </w:rPr>
      </w:pPr>
      <w:r>
        <w:rPr>
          <w:rFonts w:eastAsia="Malgun Gothic" w:cs="Times"/>
        </w:rPr>
        <w:t>It was agreed in RAN1#110b-e that</w:t>
      </w:r>
    </w:p>
    <w:p w14:paraId="3B13CAD4" w14:textId="3E7D7BD7" w:rsidR="00DB0DF0" w:rsidRPr="00DB0DF0" w:rsidRDefault="00DB0DF0" w:rsidP="00DB0DF0">
      <w:pPr>
        <w:jc w:val="both"/>
        <w:rPr>
          <w:rFonts w:eastAsia="Malgun Gothic"/>
          <w:b/>
          <w:sz w:val="20"/>
          <w:szCs w:val="20"/>
          <w:highlight w:val="green"/>
        </w:rPr>
      </w:pPr>
      <w:r w:rsidRPr="00DB0DF0">
        <w:rPr>
          <w:rFonts w:eastAsia="Malgun Gothic"/>
          <w:b/>
          <w:sz w:val="20"/>
          <w:szCs w:val="20"/>
          <w:highlight w:val="green"/>
        </w:rPr>
        <w:t>Agreement</w:t>
      </w:r>
    </w:p>
    <w:p w14:paraId="0158F0AD" w14:textId="77777777" w:rsidR="00DB0DF0" w:rsidRPr="00DB0DF0" w:rsidRDefault="00DB0DF0" w:rsidP="00DB0DF0">
      <w:pPr>
        <w:rPr>
          <w:rFonts w:eastAsia="Malgun Gothic"/>
          <w:sz w:val="20"/>
          <w:szCs w:val="20"/>
        </w:rPr>
      </w:pPr>
      <w:r w:rsidRPr="00DB0DF0">
        <w:rPr>
          <w:rFonts w:eastAsia="Malgun Gothic"/>
          <w:sz w:val="20"/>
          <w:szCs w:val="20"/>
        </w:rPr>
        <w:t xml:space="preserve">Identify if there are any cases of time domain conflict of UE’s UL and DL operation in the same SBFD symbol for SBFD aware UE </w:t>
      </w:r>
    </w:p>
    <w:p w14:paraId="4C15BF2A" w14:textId="77777777" w:rsidR="00DB0DF0" w:rsidRPr="00DB0DF0" w:rsidRDefault="00DB0DF0" w:rsidP="00DB0DF0">
      <w:pPr>
        <w:numPr>
          <w:ilvl w:val="0"/>
          <w:numId w:val="29"/>
        </w:numPr>
        <w:rPr>
          <w:sz w:val="20"/>
          <w:szCs w:val="20"/>
          <w:lang w:eastAsia="ko-KR"/>
        </w:rPr>
      </w:pPr>
      <w:r w:rsidRPr="00DB0DF0">
        <w:rPr>
          <w:sz w:val="20"/>
          <w:szCs w:val="20"/>
          <w:lang w:eastAsia="ko-KR"/>
        </w:rPr>
        <w:t>If there are, whether/how to avoid/handle such collision cases (as second step)</w:t>
      </w:r>
    </w:p>
    <w:p w14:paraId="4784573E" w14:textId="489D2625" w:rsidR="00DB0DF0" w:rsidRDefault="00DB0DF0" w:rsidP="00674071">
      <w:pPr>
        <w:pStyle w:val="0Maintext"/>
        <w:spacing w:after="120" w:afterAutospacing="0" w:line="240" w:lineRule="auto"/>
        <w:ind w:firstLine="0"/>
        <w:rPr>
          <w:rFonts w:eastAsia="Malgun Gothic" w:cs="Times"/>
        </w:rPr>
      </w:pPr>
    </w:p>
    <w:p w14:paraId="7CF18AC0" w14:textId="53C1BEB4" w:rsidR="00DB0DF0" w:rsidRDefault="00DB0DF0" w:rsidP="00DB0DF0">
      <w:pPr>
        <w:pStyle w:val="0Maintext"/>
        <w:spacing w:after="0" w:afterAutospacing="0" w:line="240" w:lineRule="auto"/>
        <w:ind w:firstLine="0"/>
        <w:rPr>
          <w:rFonts w:eastAsia="Malgun Gothic" w:cs="Times"/>
        </w:rPr>
      </w:pPr>
      <w:r>
        <w:rPr>
          <w:rFonts w:eastAsia="Malgun Gothic" w:cs="Times"/>
        </w:rPr>
        <w:t xml:space="preserve">In our view, such collision should be limited to the scenarios that at least one of the resources is a higher configured resource, e.g. a SPS, CSI-RS etc for DL or UL-CG, periodic PUCCH, periodic SRS, ETC FOR UL. In other words, UE does not expect to be indicated to simultaneously transmit and receive within a SBFD symbol by two dynamic indications. This behaviour is consistent with legacy TDD symbols.   </w:t>
      </w:r>
    </w:p>
    <w:p w14:paraId="4ABDEC09" w14:textId="77777777" w:rsidR="00DB0DF0" w:rsidRDefault="00DB0DF0" w:rsidP="00DB0DF0">
      <w:pPr>
        <w:pStyle w:val="0Maintext"/>
        <w:spacing w:after="0" w:afterAutospacing="0" w:line="240" w:lineRule="auto"/>
        <w:ind w:firstLine="0"/>
        <w:rPr>
          <w:rFonts w:eastAsia="Malgun Gothic" w:cs="Times"/>
        </w:rPr>
      </w:pPr>
    </w:p>
    <w:p w14:paraId="1782DC69" w14:textId="6B3AAA36" w:rsidR="00DB0DF0" w:rsidRDefault="00DB0DF0" w:rsidP="00DB0DF0">
      <w:pPr>
        <w:pStyle w:val="0Maintext"/>
        <w:spacing w:after="0" w:afterAutospacing="0" w:line="240" w:lineRule="auto"/>
        <w:ind w:firstLine="0"/>
        <w:rPr>
          <w:rFonts w:eastAsia="Malgun Gothic" w:cs="Times"/>
          <w:lang w:val="en-US"/>
        </w:rPr>
      </w:pPr>
      <w:r w:rsidRPr="00DB0DF0">
        <w:rPr>
          <w:rFonts w:eastAsia="Malgun Gothic" w:cs="Times"/>
          <w:b/>
          <w:bCs/>
          <w:lang w:val="en-US"/>
        </w:rPr>
        <w:lastRenderedPageBreak/>
        <w:t xml:space="preserve">Proposal </w:t>
      </w:r>
      <w:r w:rsidR="00F73E10">
        <w:rPr>
          <w:rFonts w:eastAsia="Malgun Gothic" w:cs="Times"/>
          <w:b/>
          <w:bCs/>
          <w:lang w:val="en-US"/>
        </w:rPr>
        <w:t>3</w:t>
      </w:r>
      <w:r w:rsidRPr="00DB0DF0">
        <w:rPr>
          <w:rFonts w:eastAsia="Malgun Gothic" w:cs="Times"/>
          <w:lang w:val="en-US"/>
        </w:rPr>
        <w:t>: If within a SBFD symbol a SBFD aware UE is scheduled to simultaneously receive and transmit, respectively on DL and UL sub-bands</w:t>
      </w:r>
      <w:r>
        <w:rPr>
          <w:rFonts w:eastAsia="Malgun Gothic" w:cs="Times"/>
          <w:lang w:val="en-US"/>
        </w:rPr>
        <w:t xml:space="preserve">, </w:t>
      </w:r>
      <w:r w:rsidRPr="00DB0DF0">
        <w:rPr>
          <w:rFonts w:eastAsia="Malgun Gothic" w:cs="Times"/>
          <w:lang w:val="en-US"/>
        </w:rPr>
        <w:t>dynamic grant is prioritized</w:t>
      </w:r>
      <w:r>
        <w:rPr>
          <w:rFonts w:eastAsia="Malgun Gothic" w:cs="Times"/>
          <w:lang w:val="en-US"/>
        </w:rPr>
        <w:t>.</w:t>
      </w:r>
    </w:p>
    <w:p w14:paraId="01BCE89F" w14:textId="130E6A34" w:rsidR="00DB0DF0" w:rsidRDefault="00DB0DF0" w:rsidP="00DB0DF0">
      <w:pPr>
        <w:pStyle w:val="0Maintext"/>
        <w:spacing w:after="0" w:afterAutospacing="0" w:line="240" w:lineRule="auto"/>
        <w:ind w:left="576" w:firstLine="0"/>
        <w:rPr>
          <w:rFonts w:eastAsia="Malgun Gothic" w:cs="Times"/>
          <w:lang w:val="en-US"/>
        </w:rPr>
      </w:pPr>
      <w:r>
        <w:rPr>
          <w:rFonts w:eastAsia="Malgun Gothic" w:cs="Times"/>
          <w:lang w:val="en-US"/>
        </w:rPr>
        <w:t>I</w:t>
      </w:r>
      <w:r w:rsidRPr="00DB0DF0">
        <w:rPr>
          <w:rFonts w:eastAsia="Malgun Gothic" w:cs="Times"/>
          <w:lang w:val="en-US"/>
        </w:rPr>
        <w:t xml:space="preserve">f </w:t>
      </w:r>
      <w:r>
        <w:rPr>
          <w:rFonts w:eastAsia="Malgun Gothic" w:cs="Times"/>
          <w:lang w:val="en-US"/>
        </w:rPr>
        <w:t>neither</w:t>
      </w:r>
      <w:r w:rsidRPr="00DB0DF0">
        <w:rPr>
          <w:rFonts w:eastAsia="Malgun Gothic" w:cs="Times"/>
          <w:lang w:val="en-US"/>
        </w:rPr>
        <w:t xml:space="preserve"> UL</w:t>
      </w:r>
      <w:r>
        <w:rPr>
          <w:rFonts w:eastAsia="Malgun Gothic" w:cs="Times"/>
          <w:lang w:val="en-US"/>
        </w:rPr>
        <w:t xml:space="preserve"> nor</w:t>
      </w:r>
      <w:r w:rsidRPr="00DB0DF0">
        <w:rPr>
          <w:rFonts w:eastAsia="Malgun Gothic" w:cs="Times"/>
          <w:lang w:val="en-US"/>
        </w:rPr>
        <w:t xml:space="preserve"> DL are dynamic</w:t>
      </w:r>
      <w:r>
        <w:rPr>
          <w:rFonts w:eastAsia="Malgun Gothic" w:cs="Times"/>
          <w:lang w:val="en-US"/>
        </w:rPr>
        <w:t>ally indicated, UL resource is prioritized</w:t>
      </w:r>
    </w:p>
    <w:p w14:paraId="2B0D147C" w14:textId="05F1ADAF" w:rsidR="00CF2CAD" w:rsidRDefault="00CF2CAD" w:rsidP="00DB0DF0">
      <w:pPr>
        <w:pStyle w:val="0Maintext"/>
        <w:spacing w:after="0" w:afterAutospacing="0" w:line="240" w:lineRule="auto"/>
        <w:ind w:left="576" w:firstLine="0"/>
        <w:rPr>
          <w:rFonts w:eastAsia="Malgun Gothic" w:cs="Times"/>
          <w:lang w:val="en-US"/>
        </w:rPr>
      </w:pPr>
    </w:p>
    <w:p w14:paraId="23A0D1BE" w14:textId="25DFE8BF" w:rsidR="00DE2340" w:rsidRDefault="00DE2340" w:rsidP="00DE2340">
      <w:pPr>
        <w:pStyle w:val="0Maintext"/>
        <w:spacing w:after="0" w:afterAutospacing="0" w:line="240" w:lineRule="auto"/>
        <w:ind w:firstLine="0"/>
        <w:rPr>
          <w:rFonts w:eastAsia="Malgun Gothic" w:cs="Times"/>
          <w:lang w:val="en-US"/>
        </w:rPr>
      </w:pPr>
      <w:r>
        <w:rPr>
          <w:rFonts w:eastAsia="Malgun Gothic" w:cs="Times"/>
          <w:lang w:val="en-US"/>
        </w:rPr>
        <w:t>We should note that once a dynamic grant cancels another grant, a cancellation timeline is defined which shall be met by the scheduler. Example is given in Fig. 1, where the PUSCH is an UL CG.</w:t>
      </w:r>
    </w:p>
    <w:p w14:paraId="3A7951AA" w14:textId="19F09CD0" w:rsidR="00DE2340" w:rsidRDefault="00DE2340" w:rsidP="00DE2340">
      <w:pPr>
        <w:pStyle w:val="0Maintext"/>
        <w:spacing w:after="0" w:afterAutospacing="0" w:line="240" w:lineRule="auto"/>
        <w:ind w:firstLine="0"/>
        <w:jc w:val="center"/>
        <w:rPr>
          <w:rFonts w:eastAsia="Malgun Gothic" w:cs="Times"/>
          <w:lang w:val="en-US"/>
        </w:rPr>
      </w:pPr>
      <w:r w:rsidRPr="00DE2340">
        <w:rPr>
          <w:rFonts w:eastAsia="Malgun Gothic" w:cs="Times"/>
          <w:noProof/>
          <w:lang w:val="en-US"/>
        </w:rPr>
        <w:drawing>
          <wp:inline distT="0" distB="0" distL="0" distR="0" wp14:anchorId="3C6ED1D9" wp14:editId="5DA93DED">
            <wp:extent cx="1638808" cy="1280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667421" cy="1302511"/>
                    </a:xfrm>
                    <a:prstGeom prst="rect">
                      <a:avLst/>
                    </a:prstGeom>
                  </pic:spPr>
                </pic:pic>
              </a:graphicData>
            </a:graphic>
          </wp:inline>
        </w:drawing>
      </w:r>
    </w:p>
    <w:p w14:paraId="651D0E8C" w14:textId="1454B5FD" w:rsidR="00DE2340" w:rsidRDefault="00DE2340" w:rsidP="00DE2340">
      <w:pPr>
        <w:pStyle w:val="TH"/>
        <w:rPr>
          <w:lang w:val="en-US"/>
        </w:rPr>
      </w:pPr>
      <w:r>
        <w:rPr>
          <w:rFonts w:eastAsia="SimSun"/>
          <w:kern w:val="24"/>
          <w:lang w:val="en-GB" w:eastAsia="ja-JP"/>
        </w:rPr>
        <w:t>Figure 1</w:t>
      </w:r>
      <w:r>
        <w:rPr>
          <w:lang w:val="en-US"/>
        </w:rPr>
        <w:t xml:space="preserve">: Dynamic grant for PDSCH cancels UL CG PUSCH. </w:t>
      </w:r>
    </w:p>
    <w:p w14:paraId="3EBC9E98" w14:textId="77777777" w:rsidR="00DE2340" w:rsidRDefault="00DE2340" w:rsidP="00DE2340">
      <w:pPr>
        <w:pStyle w:val="0Maintext"/>
        <w:spacing w:after="0" w:afterAutospacing="0" w:line="240" w:lineRule="auto"/>
        <w:ind w:firstLine="0"/>
        <w:jc w:val="center"/>
        <w:rPr>
          <w:rFonts w:eastAsia="Malgun Gothic" w:cs="Times"/>
          <w:lang w:val="en-US"/>
        </w:rPr>
      </w:pPr>
    </w:p>
    <w:p w14:paraId="6770B311" w14:textId="58A3FDC7" w:rsidR="00665C2B" w:rsidRDefault="00535D4E" w:rsidP="00665C2B">
      <w:pPr>
        <w:pStyle w:val="0Maintext"/>
        <w:spacing w:after="0" w:afterAutospacing="0" w:line="240" w:lineRule="auto"/>
        <w:ind w:firstLine="0"/>
        <w:rPr>
          <w:rFonts w:eastAsia="Malgun Gothic" w:cs="Times"/>
          <w:color w:val="000000" w:themeColor="text1"/>
        </w:rPr>
      </w:pPr>
      <w:r w:rsidRPr="007D3206">
        <w:rPr>
          <w:rFonts w:eastAsia="Malgun Gothic" w:cs="Times"/>
          <w:color w:val="000000" w:themeColor="text1"/>
          <w:lang w:val="en-US"/>
        </w:rPr>
        <w:t xml:space="preserve">If SBFD </w:t>
      </w:r>
      <w:r w:rsidR="007D3206" w:rsidRPr="007D3206">
        <w:rPr>
          <w:rFonts w:eastAsia="Malgun Gothic" w:cs="Times"/>
          <w:color w:val="000000" w:themeColor="text1"/>
          <w:lang w:val="en-US"/>
        </w:rPr>
        <w:t>slot</w:t>
      </w:r>
      <w:r w:rsidR="00AC0FE4">
        <w:rPr>
          <w:rFonts w:eastAsia="Malgun Gothic" w:cs="Times"/>
          <w:color w:val="000000" w:themeColor="text1"/>
          <w:lang w:val="en-US"/>
        </w:rPr>
        <w:t xml:space="preserve"> and </w:t>
      </w:r>
      <w:r w:rsidR="00082F1E" w:rsidRPr="007D3206">
        <w:rPr>
          <w:rFonts w:eastAsia="Malgun Gothic" w:cs="Times"/>
          <w:color w:val="000000" w:themeColor="text1"/>
          <w:lang w:val="en-US"/>
        </w:rPr>
        <w:t xml:space="preserve">SSB </w:t>
      </w:r>
      <w:r w:rsidR="00AC0FE4">
        <w:rPr>
          <w:rFonts w:eastAsia="Malgun Gothic" w:cs="Times"/>
          <w:color w:val="000000" w:themeColor="text1"/>
          <w:lang w:val="en-US"/>
        </w:rPr>
        <w:t xml:space="preserve">have different </w:t>
      </w:r>
      <w:r w:rsidR="00082F1E" w:rsidRPr="007D3206">
        <w:rPr>
          <w:rFonts w:eastAsia="Malgun Gothic" w:cs="Times"/>
          <w:color w:val="000000" w:themeColor="text1"/>
          <w:lang w:val="en-US"/>
        </w:rPr>
        <w:t>periodicit</w:t>
      </w:r>
      <w:r w:rsidR="00AC0FE4">
        <w:rPr>
          <w:rFonts w:eastAsia="Malgun Gothic" w:cs="Times"/>
          <w:color w:val="000000" w:themeColor="text1"/>
          <w:lang w:val="en-US"/>
        </w:rPr>
        <w:t>ies</w:t>
      </w:r>
      <w:r w:rsidRPr="007D3206">
        <w:rPr>
          <w:rFonts w:eastAsia="Malgun Gothic" w:cs="Times"/>
          <w:color w:val="000000" w:themeColor="text1"/>
          <w:lang w:val="en-US"/>
        </w:rPr>
        <w:t>,</w:t>
      </w:r>
      <w:r w:rsidR="00082F1E" w:rsidRPr="007D3206">
        <w:rPr>
          <w:rFonts w:eastAsia="Malgun Gothic" w:cs="Times"/>
          <w:color w:val="000000" w:themeColor="text1"/>
          <w:lang w:val="en-US"/>
        </w:rPr>
        <w:t xml:space="preserve"> there can be SSB blocks that lie within SBFD slots.</w:t>
      </w:r>
      <w:r w:rsidRPr="007D3206">
        <w:rPr>
          <w:rFonts w:eastAsia="Malgun Gothic" w:cs="Times"/>
          <w:color w:val="000000" w:themeColor="text1"/>
          <w:lang w:val="en-US"/>
        </w:rPr>
        <w:t xml:space="preserve"> </w:t>
      </w:r>
      <w:r w:rsidR="00665C2B" w:rsidRPr="00665C2B">
        <w:rPr>
          <w:rFonts w:eastAsia="Malgun Gothic" w:cs="Times"/>
          <w:color w:val="000000" w:themeColor="text1"/>
        </w:rPr>
        <w:t xml:space="preserve">In RAN1, it has been discussed whether </w:t>
      </w:r>
      <w:r w:rsidR="00665C2B">
        <w:rPr>
          <w:rFonts w:eastAsia="Malgun Gothic" w:cs="Times"/>
          <w:color w:val="000000" w:themeColor="text1"/>
        </w:rPr>
        <w:t xml:space="preserve">such overlapping is allowed. </w:t>
      </w:r>
      <w:r w:rsidR="00665C2B" w:rsidRPr="00665C2B">
        <w:rPr>
          <w:rFonts w:eastAsia="Malgun Gothic" w:cs="Times"/>
          <w:color w:val="000000" w:themeColor="text1"/>
        </w:rPr>
        <w:t>Some pros and cons related to support of UL sub-band in SSB symbols</w:t>
      </w:r>
      <w:r w:rsidR="00665C2B">
        <w:rPr>
          <w:rFonts w:eastAsia="Malgun Gothic" w:cs="Times"/>
          <w:color w:val="000000" w:themeColor="text1"/>
        </w:rPr>
        <w:t xml:space="preserve"> </w:t>
      </w:r>
      <w:r w:rsidR="00665C2B" w:rsidRPr="00665C2B">
        <w:rPr>
          <w:rFonts w:eastAsia="Malgun Gothic" w:cs="Times"/>
          <w:color w:val="000000" w:themeColor="text1"/>
        </w:rPr>
        <w:t>are observed</w:t>
      </w:r>
      <w:r w:rsidR="00665C2B">
        <w:rPr>
          <w:rFonts w:eastAsia="Malgun Gothic" w:cs="Times"/>
          <w:color w:val="000000" w:themeColor="text1"/>
        </w:rPr>
        <w:t>, like p</w:t>
      </w:r>
      <w:r w:rsidR="00665C2B" w:rsidRPr="00665C2B">
        <w:rPr>
          <w:rFonts w:eastAsia="Malgun Gothic" w:cs="Times"/>
          <w:color w:val="000000" w:themeColor="text1"/>
        </w:rPr>
        <w:t>rovid</w:t>
      </w:r>
      <w:r w:rsidR="00665C2B">
        <w:rPr>
          <w:rFonts w:eastAsia="Malgun Gothic" w:cs="Times"/>
          <w:color w:val="000000" w:themeColor="text1"/>
        </w:rPr>
        <w:t>ing</w:t>
      </w:r>
      <w:r w:rsidR="00665C2B" w:rsidRPr="00665C2B">
        <w:rPr>
          <w:rFonts w:eastAsia="Malgun Gothic" w:cs="Times"/>
          <w:color w:val="000000" w:themeColor="text1"/>
        </w:rPr>
        <w:t xml:space="preserve"> more UL opportunities </w:t>
      </w:r>
      <w:r w:rsidR="00665C2B">
        <w:rPr>
          <w:rFonts w:eastAsia="Malgun Gothic" w:cs="Times"/>
          <w:color w:val="000000" w:themeColor="text1"/>
        </w:rPr>
        <w:t>(</w:t>
      </w:r>
      <w:r w:rsidR="00665C2B" w:rsidRPr="00665C2B">
        <w:rPr>
          <w:rFonts w:eastAsia="Malgun Gothic" w:cs="Times"/>
          <w:color w:val="000000" w:themeColor="text1"/>
        </w:rPr>
        <w:t>depending on the SSB configuration, SBFD configuration etc</w:t>
      </w:r>
      <w:r w:rsidR="00665C2B">
        <w:rPr>
          <w:rFonts w:eastAsia="Malgun Gothic" w:cs="Times"/>
          <w:color w:val="000000" w:themeColor="text1"/>
        </w:rPr>
        <w:t>)</w:t>
      </w:r>
      <w:r w:rsidR="00585EB2">
        <w:rPr>
          <w:rFonts w:eastAsia="Malgun Gothic" w:cs="Times"/>
          <w:color w:val="000000" w:themeColor="text1"/>
        </w:rPr>
        <w:t xml:space="preserve"> to the aggressor UE</w:t>
      </w:r>
      <w:r w:rsidR="00665C2B" w:rsidRPr="00665C2B">
        <w:rPr>
          <w:rFonts w:eastAsia="Malgun Gothic" w:cs="Times"/>
          <w:color w:val="000000" w:themeColor="text1"/>
        </w:rPr>
        <w:t xml:space="preserve">, </w:t>
      </w:r>
      <w:r w:rsidR="00665C2B">
        <w:rPr>
          <w:rFonts w:eastAsia="Malgun Gothic" w:cs="Times"/>
          <w:color w:val="000000" w:themeColor="text1"/>
        </w:rPr>
        <w:t>while a</w:t>
      </w:r>
      <w:r w:rsidR="00665C2B" w:rsidRPr="00665C2B">
        <w:rPr>
          <w:rFonts w:eastAsia="Malgun Gothic" w:cs="Times"/>
          <w:color w:val="000000" w:themeColor="text1"/>
        </w:rPr>
        <w:t xml:space="preserve"> half-duplex aggressor UE cannot make SSB measurement if needed</w:t>
      </w:r>
      <w:r w:rsidR="00665C2B">
        <w:rPr>
          <w:rFonts w:eastAsia="Malgun Gothic" w:cs="Times"/>
          <w:color w:val="000000" w:themeColor="text1"/>
        </w:rPr>
        <w:t xml:space="preserve">, and </w:t>
      </w:r>
      <w:r w:rsidR="00585EB2">
        <w:rPr>
          <w:rFonts w:eastAsia="Malgun Gothic" w:cs="Times"/>
          <w:color w:val="000000" w:themeColor="text1"/>
        </w:rPr>
        <w:t xml:space="preserve">in addition, </w:t>
      </w:r>
      <w:r w:rsidR="00665C2B" w:rsidRPr="00665C2B">
        <w:rPr>
          <w:rFonts w:eastAsia="Malgun Gothic" w:cs="Times"/>
          <w:color w:val="000000" w:themeColor="text1"/>
        </w:rPr>
        <w:t>UE-to-UE CLI may degrade the performance of SSB detection/measurement at the victim UE.</w:t>
      </w:r>
      <w:r w:rsidR="00B32A49">
        <w:rPr>
          <w:rFonts w:eastAsia="Malgun Gothic" w:cs="Times"/>
          <w:color w:val="000000" w:themeColor="text1"/>
        </w:rPr>
        <w:t xml:space="preserve"> The following agreement was reached in RAN1#112b-e</w:t>
      </w:r>
    </w:p>
    <w:p w14:paraId="661FEF4B" w14:textId="77777777" w:rsidR="00FB14E6" w:rsidRDefault="00FB14E6" w:rsidP="00665C2B">
      <w:pPr>
        <w:pStyle w:val="0Maintext"/>
        <w:spacing w:after="0" w:afterAutospacing="0" w:line="240" w:lineRule="auto"/>
        <w:ind w:firstLine="0"/>
        <w:rPr>
          <w:rFonts w:eastAsia="Malgun Gothic" w:cs="Times"/>
          <w:color w:val="000000" w:themeColor="text1"/>
        </w:rPr>
      </w:pPr>
    </w:p>
    <w:p w14:paraId="050A8912" w14:textId="77777777" w:rsidR="00B32A49" w:rsidRPr="00B32A49" w:rsidRDefault="00B32A49" w:rsidP="00B32A49">
      <w:pPr>
        <w:rPr>
          <w:rFonts w:eastAsia="Malgun Gothic"/>
          <w:b/>
          <w:sz w:val="20"/>
          <w:szCs w:val="20"/>
          <w:highlight w:val="green"/>
        </w:rPr>
      </w:pPr>
      <w:r w:rsidRPr="00B32A49">
        <w:rPr>
          <w:rFonts w:eastAsia="Malgun Gothic"/>
          <w:b/>
          <w:sz w:val="20"/>
          <w:szCs w:val="20"/>
          <w:highlight w:val="green"/>
        </w:rPr>
        <w:t>Agreement</w:t>
      </w:r>
    </w:p>
    <w:p w14:paraId="003939C8" w14:textId="77777777" w:rsidR="00B32A49" w:rsidRPr="00B32A49" w:rsidRDefault="00B32A49" w:rsidP="00B32A49">
      <w:pPr>
        <w:pStyle w:val="2"/>
        <w:suppressAutoHyphens w:val="0"/>
        <w:spacing w:after="0"/>
        <w:ind w:left="0"/>
        <w:rPr>
          <w:rFonts w:ascii="Times New Roman" w:eastAsia="Malgun Gothic" w:hAnsi="Times New Roman" w:cs="Times New Roman"/>
          <w:lang w:eastAsia="zh-CN"/>
        </w:rPr>
      </w:pPr>
      <w:r w:rsidRPr="00B32A49">
        <w:rPr>
          <w:rFonts w:ascii="Times New Roman" w:eastAsia="Malgun Gothic" w:hAnsi="Times New Roman" w:cs="Times New Roman"/>
          <w:lang w:eastAsia="zh-CN"/>
        </w:rPr>
        <w:t>Study the following options for SBFD operation in SSB symbols.</w:t>
      </w:r>
    </w:p>
    <w:p w14:paraId="2E6A50A6" w14:textId="77777777" w:rsidR="00B32A49" w:rsidRPr="00B32A49" w:rsidRDefault="00B32A49" w:rsidP="00B32A49">
      <w:pPr>
        <w:numPr>
          <w:ilvl w:val="0"/>
          <w:numId w:val="36"/>
        </w:numPr>
        <w:rPr>
          <w:rFonts w:eastAsia="Malgun Gothic"/>
          <w:sz w:val="20"/>
          <w:szCs w:val="20"/>
        </w:rPr>
      </w:pPr>
      <w:r w:rsidRPr="00B32A49">
        <w:rPr>
          <w:rFonts w:eastAsia="Malgun Gothic"/>
          <w:sz w:val="20"/>
          <w:szCs w:val="20"/>
        </w:rPr>
        <w:t>Option 1: UL subband cannot be configured in an SSB symbol</w:t>
      </w:r>
    </w:p>
    <w:p w14:paraId="3FA4C37A" w14:textId="77777777" w:rsidR="00B32A49" w:rsidRPr="00B32A49" w:rsidRDefault="00B32A49" w:rsidP="00B32A49">
      <w:pPr>
        <w:numPr>
          <w:ilvl w:val="1"/>
          <w:numId w:val="36"/>
        </w:numPr>
        <w:rPr>
          <w:rFonts w:eastAsia="Malgun Gothic"/>
          <w:sz w:val="20"/>
          <w:szCs w:val="20"/>
        </w:rPr>
      </w:pPr>
      <w:r w:rsidRPr="00B32A49">
        <w:rPr>
          <w:rFonts w:eastAsia="Malgun Gothic"/>
          <w:sz w:val="20"/>
          <w:szCs w:val="20"/>
        </w:rPr>
        <w:t>FFS handling of misaligned periodicities between SSB and semi-static SBFD subband time location configuration</w:t>
      </w:r>
    </w:p>
    <w:p w14:paraId="2EEBF903" w14:textId="77777777" w:rsidR="00B32A49" w:rsidRPr="00B32A49" w:rsidRDefault="00B32A49" w:rsidP="00B32A49">
      <w:pPr>
        <w:numPr>
          <w:ilvl w:val="0"/>
          <w:numId w:val="36"/>
        </w:numPr>
        <w:rPr>
          <w:rFonts w:eastAsia="Malgun Gothic"/>
          <w:sz w:val="20"/>
          <w:szCs w:val="20"/>
        </w:rPr>
      </w:pPr>
      <w:r w:rsidRPr="00B32A49">
        <w:rPr>
          <w:rFonts w:eastAsia="Malgun Gothic"/>
          <w:sz w:val="20"/>
          <w:szCs w:val="20"/>
        </w:rPr>
        <w:t>Option 2: An UL subband can be configured in an SSB symbol</w:t>
      </w:r>
    </w:p>
    <w:p w14:paraId="2DBCABD4" w14:textId="77777777" w:rsidR="00B32A49" w:rsidRPr="00B32A49" w:rsidRDefault="00B32A49" w:rsidP="00B32A49">
      <w:pPr>
        <w:numPr>
          <w:ilvl w:val="1"/>
          <w:numId w:val="36"/>
        </w:numPr>
        <w:rPr>
          <w:rFonts w:eastAsia="Malgun Gothic"/>
          <w:sz w:val="20"/>
          <w:szCs w:val="20"/>
        </w:rPr>
      </w:pPr>
      <w:r w:rsidRPr="00B32A49">
        <w:rPr>
          <w:rFonts w:eastAsia="Malgun Gothic"/>
          <w:sz w:val="20"/>
          <w:szCs w:val="20"/>
        </w:rPr>
        <w:t>FFS whether/when and/or under which conditions an SBFD-aware UE transmits in the UL subband or may receive SSB in the symbol.</w:t>
      </w:r>
    </w:p>
    <w:p w14:paraId="4829C229" w14:textId="77777777" w:rsidR="00B32A49" w:rsidRPr="00665C2B" w:rsidRDefault="00B32A49" w:rsidP="00665C2B">
      <w:pPr>
        <w:pStyle w:val="0Maintext"/>
        <w:spacing w:after="0" w:afterAutospacing="0" w:line="240" w:lineRule="auto"/>
        <w:ind w:firstLine="0"/>
        <w:rPr>
          <w:rFonts w:eastAsia="Malgun Gothic" w:cs="Times"/>
          <w:color w:val="000000" w:themeColor="text1"/>
        </w:rPr>
      </w:pPr>
    </w:p>
    <w:p w14:paraId="2E4D1117" w14:textId="778A7334" w:rsidR="00271C28" w:rsidRDefault="00585EB2" w:rsidP="00DE2340">
      <w:pPr>
        <w:pStyle w:val="0Maintext"/>
        <w:spacing w:after="0" w:afterAutospacing="0" w:line="240" w:lineRule="auto"/>
        <w:ind w:firstLine="0"/>
        <w:rPr>
          <w:rFonts w:eastAsia="Malgun Gothic" w:cs="Times"/>
          <w:color w:val="000000" w:themeColor="text1"/>
          <w:lang w:val="en-US"/>
        </w:rPr>
      </w:pPr>
      <w:r>
        <w:rPr>
          <w:rFonts w:eastAsia="Malgun Gothic" w:cs="Times"/>
          <w:color w:val="000000" w:themeColor="text1"/>
          <w:lang w:val="en-US"/>
        </w:rPr>
        <w:t xml:space="preserve">In our view, </w:t>
      </w:r>
      <w:r w:rsidR="001872BA">
        <w:rPr>
          <w:rFonts w:eastAsia="Malgun Gothic" w:cs="Times"/>
          <w:color w:val="000000" w:themeColor="text1"/>
          <w:lang w:val="en-US"/>
        </w:rPr>
        <w:t>assuming that SSB blocks are within the DL sub-bands and there is enough gap between UL sub-bands and SSB blocks, such overlapping may be allowed. Next</w:t>
      </w:r>
      <w:r w:rsidR="00E8335D">
        <w:rPr>
          <w:rFonts w:eastAsia="Malgun Gothic" w:cs="Times"/>
          <w:color w:val="000000" w:themeColor="text1"/>
          <w:lang w:val="en-US"/>
        </w:rPr>
        <w:t>,</w:t>
      </w:r>
      <w:r w:rsidR="001872BA">
        <w:rPr>
          <w:rFonts w:eastAsia="Malgun Gothic" w:cs="Times"/>
          <w:color w:val="000000" w:themeColor="text1"/>
          <w:lang w:val="en-US"/>
        </w:rPr>
        <w:t xml:space="preserve"> the question is what should be the aggressor and victim UE behavior</w:t>
      </w:r>
      <w:r w:rsidR="00E8335D">
        <w:rPr>
          <w:rFonts w:eastAsia="Malgun Gothic" w:cs="Times"/>
          <w:color w:val="000000" w:themeColor="text1"/>
          <w:lang w:val="en-US"/>
        </w:rPr>
        <w:t xml:space="preserve"> in case of such overlapping between SSB and SBFD symbols.</w:t>
      </w:r>
      <w:r w:rsidR="00271C28">
        <w:rPr>
          <w:rFonts w:eastAsia="Malgun Gothic" w:cs="Times"/>
          <w:color w:val="000000" w:themeColor="text1"/>
          <w:lang w:val="en-US"/>
        </w:rPr>
        <w:t xml:space="preserve"> Here we should note that in current specification, </w:t>
      </w:r>
      <w:r w:rsidR="00271C28" w:rsidRPr="00271C28">
        <w:rPr>
          <w:rFonts w:eastAsia="Malgun Gothic" w:cs="Times"/>
          <w:i/>
          <w:iCs/>
          <w:color w:val="000000" w:themeColor="text1"/>
          <w:lang w:val="en-US"/>
        </w:rPr>
        <w:t xml:space="preserve">ssb-ToMeasure </w:t>
      </w:r>
      <w:r w:rsidR="00271C28" w:rsidRPr="00271C28">
        <w:rPr>
          <w:rFonts w:eastAsia="Malgun Gothic" w:cs="Times"/>
          <w:color w:val="000000" w:themeColor="text1"/>
          <w:lang w:val="en-US"/>
        </w:rPr>
        <w:t xml:space="preserve">defines the set of SS blocks to be measured within the SMTC measurement </w:t>
      </w:r>
      <w:r w:rsidR="00271C28">
        <w:rPr>
          <w:rFonts w:eastAsia="Malgun Gothic" w:cs="Times"/>
          <w:color w:val="000000" w:themeColor="text1"/>
          <w:lang w:val="en-US"/>
        </w:rPr>
        <w:t xml:space="preserve">window. A similar procedure can be used to indicate whether a SSB overlapping with UL sub-band is supposed to be measured or not. </w:t>
      </w:r>
    </w:p>
    <w:p w14:paraId="62FEDA17" w14:textId="77777777" w:rsidR="001C3A5E" w:rsidRDefault="001C3A5E" w:rsidP="00DE2340">
      <w:pPr>
        <w:pStyle w:val="0Maintext"/>
        <w:spacing w:after="0" w:afterAutospacing="0" w:line="240" w:lineRule="auto"/>
        <w:ind w:firstLine="0"/>
        <w:rPr>
          <w:rFonts w:eastAsia="Malgun Gothic" w:cs="Times"/>
          <w:color w:val="000000" w:themeColor="text1"/>
          <w:lang w:val="en-US"/>
        </w:rPr>
      </w:pPr>
    </w:p>
    <w:p w14:paraId="6708184A" w14:textId="1A043728" w:rsidR="00271C28" w:rsidRDefault="00271C28" w:rsidP="00DE2340">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sidR="00135749">
        <w:rPr>
          <w:rFonts w:eastAsia="Malgun Gothic" w:cs="Times"/>
          <w:b/>
          <w:bCs/>
          <w:color w:val="000000" w:themeColor="text1"/>
          <w:lang w:val="en-US"/>
        </w:rPr>
        <w:t>4</w:t>
      </w:r>
      <w:r w:rsidRPr="00271C28">
        <w:rPr>
          <w:rFonts w:eastAsia="Malgun Gothic" w:cs="Times"/>
          <w:color w:val="000000" w:themeColor="text1"/>
          <w:lang w:val="en-US"/>
        </w:rPr>
        <w:t>: gNB indicates a new bitmask based on which UE is indicated if a SSB block overlapping with SBFD symbols can be used for SSB measurement or for UL transmission</w:t>
      </w:r>
      <w:r>
        <w:rPr>
          <w:rFonts w:eastAsia="Malgun Gothic" w:cs="Times"/>
          <w:color w:val="000000" w:themeColor="text1"/>
          <w:lang w:val="en-US"/>
        </w:rPr>
        <w:t>. The bitmask can be cell-specific or UE specific.</w:t>
      </w:r>
    </w:p>
    <w:p w14:paraId="0AD216E0" w14:textId="77777777" w:rsidR="007B5B40" w:rsidRDefault="007B5B40" w:rsidP="00DE2340">
      <w:pPr>
        <w:pStyle w:val="0Maintext"/>
        <w:spacing w:after="0" w:afterAutospacing="0" w:line="240" w:lineRule="auto"/>
        <w:ind w:firstLine="0"/>
        <w:rPr>
          <w:rFonts w:eastAsia="Malgun Gothic" w:cs="Times"/>
          <w:color w:val="000000" w:themeColor="text1"/>
          <w:lang w:val="en-US"/>
        </w:rPr>
      </w:pPr>
    </w:p>
    <w:p w14:paraId="3144F46D" w14:textId="77777777" w:rsidR="00FF0160" w:rsidRDefault="00FF0160" w:rsidP="00DE2340">
      <w:pPr>
        <w:pStyle w:val="0Maintext"/>
        <w:spacing w:after="0" w:afterAutospacing="0" w:line="240" w:lineRule="auto"/>
        <w:ind w:firstLine="0"/>
        <w:rPr>
          <w:rFonts w:eastAsia="Malgun Gothic" w:cs="Times"/>
          <w:color w:val="000000" w:themeColor="text1"/>
          <w:lang w:val="en-US"/>
        </w:rPr>
      </w:pPr>
    </w:p>
    <w:p w14:paraId="5E7EA234" w14:textId="6101085E" w:rsidR="0001291B" w:rsidRPr="0001291B" w:rsidRDefault="0001291B" w:rsidP="0001291B">
      <w:pPr>
        <w:pStyle w:val="Heading2"/>
      </w:pPr>
      <w:r w:rsidRPr="0001291B">
        <w:rPr>
          <w:lang w:val="en-GB"/>
        </w:rPr>
        <w:t>UE-to-UE CLI measurement</w:t>
      </w:r>
    </w:p>
    <w:p w14:paraId="725914C4" w14:textId="77777777" w:rsidR="0001291B" w:rsidRPr="0001291B" w:rsidRDefault="0001291B" w:rsidP="0001291B"/>
    <w:p w14:paraId="6F71CB51" w14:textId="395E30B4" w:rsidR="00F943AF" w:rsidRDefault="0001291B" w:rsidP="00B5429D">
      <w:pPr>
        <w:jc w:val="both"/>
        <w:rPr>
          <w:sz w:val="20"/>
          <w:szCs w:val="20"/>
        </w:rPr>
      </w:pPr>
      <w:r>
        <w:rPr>
          <w:sz w:val="20"/>
          <w:szCs w:val="20"/>
        </w:rPr>
        <w:t>I</w:t>
      </w:r>
      <w:r w:rsidR="00F943AF">
        <w:rPr>
          <w:sz w:val="20"/>
          <w:szCs w:val="20"/>
        </w:rPr>
        <w:t>t was agreed in RAN1#11</w:t>
      </w:r>
      <w:r>
        <w:rPr>
          <w:sz w:val="20"/>
          <w:szCs w:val="20"/>
        </w:rPr>
        <w:t>2</w:t>
      </w:r>
      <w:r w:rsidR="00F943AF">
        <w:rPr>
          <w:sz w:val="20"/>
          <w:szCs w:val="20"/>
        </w:rPr>
        <w:t xml:space="preserve"> that</w:t>
      </w:r>
      <w:r w:rsidR="00560194">
        <w:rPr>
          <w:sz w:val="20"/>
          <w:szCs w:val="20"/>
        </w:rPr>
        <w:t>:</w:t>
      </w:r>
      <w:r w:rsidR="00F943AF">
        <w:rPr>
          <w:sz w:val="20"/>
          <w:szCs w:val="20"/>
        </w:rPr>
        <w:t xml:space="preserve"> </w:t>
      </w:r>
    </w:p>
    <w:p w14:paraId="23718CCE" w14:textId="77777777" w:rsidR="0001291B" w:rsidRPr="0001291B" w:rsidRDefault="0001291B" w:rsidP="0001291B">
      <w:pPr>
        <w:rPr>
          <w:rFonts w:eastAsia="Malgun Gothic"/>
          <w:b/>
          <w:sz w:val="20"/>
          <w:szCs w:val="20"/>
          <w:highlight w:val="green"/>
          <w:lang w:val="en-GB"/>
        </w:rPr>
      </w:pPr>
      <w:r w:rsidRPr="0001291B">
        <w:rPr>
          <w:rFonts w:eastAsia="Malgun Gothic"/>
          <w:b/>
          <w:sz w:val="20"/>
          <w:szCs w:val="20"/>
          <w:highlight w:val="green"/>
          <w:lang w:val="en-GB"/>
        </w:rPr>
        <w:t>Agreement</w:t>
      </w:r>
    </w:p>
    <w:p w14:paraId="56338F21" w14:textId="77777777" w:rsidR="0001291B" w:rsidRPr="0001291B" w:rsidRDefault="0001291B" w:rsidP="0001291B">
      <w:pPr>
        <w:rPr>
          <w:rFonts w:eastAsia="Batang"/>
          <w:sz w:val="20"/>
          <w:szCs w:val="20"/>
          <w:lang w:val="en-GB"/>
        </w:rPr>
      </w:pPr>
      <w:r w:rsidRPr="0001291B">
        <w:rPr>
          <w:rFonts w:eastAsia="Batang"/>
          <w:sz w:val="20"/>
          <w:szCs w:val="20"/>
          <w:lang w:val="en-GB"/>
        </w:rPr>
        <w:t>For inter-UE inter-subband CLI measurement, study at least the following methods:</w:t>
      </w:r>
    </w:p>
    <w:p w14:paraId="1306CC18" w14:textId="77777777" w:rsidR="0001291B" w:rsidRPr="0001291B" w:rsidRDefault="0001291B" w:rsidP="0001291B">
      <w:pPr>
        <w:numPr>
          <w:ilvl w:val="1"/>
          <w:numId w:val="40"/>
        </w:numPr>
        <w:suppressAutoHyphens/>
        <w:spacing w:line="259" w:lineRule="auto"/>
        <w:jc w:val="both"/>
        <w:rPr>
          <w:rFonts w:eastAsia="Malgun Gothic"/>
          <w:sz w:val="20"/>
          <w:szCs w:val="20"/>
          <w:lang w:val="en-GB"/>
        </w:rPr>
      </w:pPr>
      <w:r w:rsidRPr="0001291B">
        <w:rPr>
          <w:rFonts w:eastAsia="Malgun Gothic"/>
          <w:sz w:val="20"/>
          <w:szCs w:val="20"/>
          <w:lang w:val="en-GB"/>
        </w:rPr>
        <w:t>Method#1: victim UE measures RSSI within DL subband</w:t>
      </w:r>
    </w:p>
    <w:p w14:paraId="06D065CD" w14:textId="77777777" w:rsidR="0001291B" w:rsidRPr="0001291B" w:rsidRDefault="0001291B" w:rsidP="0001291B">
      <w:pPr>
        <w:numPr>
          <w:ilvl w:val="2"/>
          <w:numId w:val="40"/>
        </w:numPr>
        <w:suppressAutoHyphens/>
        <w:spacing w:line="259" w:lineRule="auto"/>
        <w:jc w:val="both"/>
        <w:rPr>
          <w:rFonts w:eastAsia="Malgun Gothic"/>
          <w:sz w:val="20"/>
          <w:szCs w:val="20"/>
          <w:lang w:val="en-GB"/>
        </w:rPr>
      </w:pPr>
      <w:r w:rsidRPr="0001291B">
        <w:rPr>
          <w:rFonts w:eastAsia="Malgun Gothic"/>
          <w:sz w:val="20"/>
          <w:szCs w:val="20"/>
          <w:lang w:val="en-GB"/>
        </w:rPr>
        <w:t>FFS: Whether SINR can be measured</w:t>
      </w:r>
    </w:p>
    <w:p w14:paraId="03DE1BFA" w14:textId="77777777" w:rsidR="0001291B" w:rsidRPr="0001291B" w:rsidRDefault="0001291B" w:rsidP="0001291B">
      <w:pPr>
        <w:numPr>
          <w:ilvl w:val="1"/>
          <w:numId w:val="40"/>
        </w:numPr>
        <w:suppressAutoHyphens/>
        <w:spacing w:line="259" w:lineRule="auto"/>
        <w:jc w:val="both"/>
        <w:rPr>
          <w:rFonts w:eastAsia="Malgun Gothic"/>
          <w:sz w:val="20"/>
          <w:szCs w:val="20"/>
          <w:lang w:val="en-GB"/>
        </w:rPr>
      </w:pPr>
      <w:r w:rsidRPr="0001291B">
        <w:rPr>
          <w:rFonts w:eastAsia="Malgun Gothic"/>
          <w:sz w:val="20"/>
          <w:szCs w:val="20"/>
          <w:lang w:val="en-GB"/>
        </w:rPr>
        <w:t>Method#2: victim UE measures RSRP of aggressor UE within UL subband</w:t>
      </w:r>
    </w:p>
    <w:p w14:paraId="7AE409A1" w14:textId="77777777" w:rsidR="0001291B" w:rsidRPr="0001291B" w:rsidRDefault="0001291B" w:rsidP="0001291B">
      <w:pPr>
        <w:numPr>
          <w:ilvl w:val="1"/>
          <w:numId w:val="40"/>
        </w:numPr>
        <w:suppressAutoHyphens/>
        <w:spacing w:line="259" w:lineRule="auto"/>
        <w:jc w:val="both"/>
        <w:rPr>
          <w:rFonts w:eastAsia="Malgun Gothic"/>
          <w:sz w:val="20"/>
          <w:szCs w:val="20"/>
          <w:lang w:val="en-GB"/>
        </w:rPr>
      </w:pPr>
      <w:r w:rsidRPr="0001291B">
        <w:rPr>
          <w:rFonts w:eastAsia="Malgun Gothic"/>
          <w:sz w:val="20"/>
          <w:szCs w:val="20"/>
          <w:lang w:val="en-GB"/>
        </w:rPr>
        <w:t xml:space="preserve">Method#3: victim UE measures RSSI within UL subband </w:t>
      </w:r>
    </w:p>
    <w:p w14:paraId="19524E17" w14:textId="77777777" w:rsidR="0001291B" w:rsidRPr="0001291B" w:rsidRDefault="0001291B" w:rsidP="0001291B">
      <w:pPr>
        <w:numPr>
          <w:ilvl w:val="1"/>
          <w:numId w:val="40"/>
        </w:numPr>
        <w:suppressAutoHyphens/>
        <w:spacing w:line="259" w:lineRule="auto"/>
        <w:jc w:val="both"/>
        <w:rPr>
          <w:rFonts w:eastAsia="Malgun Gothic"/>
          <w:sz w:val="20"/>
          <w:szCs w:val="20"/>
          <w:lang w:val="en-GB"/>
        </w:rPr>
      </w:pPr>
      <w:r w:rsidRPr="0001291B">
        <w:rPr>
          <w:rFonts w:eastAsia="Malgun Gothic"/>
          <w:sz w:val="20"/>
          <w:szCs w:val="20"/>
          <w:lang w:val="en-GB"/>
        </w:rPr>
        <w:t>Note: the restriction in Rel-16 that CLI is only measured within DL BWP does not forbid UE to measure CLI in UL subband when UL subband is confined within DL BWP.</w:t>
      </w:r>
    </w:p>
    <w:p w14:paraId="4B8AA934" w14:textId="77777777" w:rsidR="00F943AF" w:rsidRDefault="00F943AF" w:rsidP="00B5429D">
      <w:pPr>
        <w:jc w:val="both"/>
        <w:rPr>
          <w:sz w:val="20"/>
          <w:szCs w:val="20"/>
        </w:rPr>
      </w:pPr>
    </w:p>
    <w:p w14:paraId="4F4036AC" w14:textId="77777777" w:rsidR="00C37C6E" w:rsidRDefault="007610F6" w:rsidP="00C37C6E">
      <w:pPr>
        <w:jc w:val="both"/>
        <w:rPr>
          <w:sz w:val="20"/>
          <w:szCs w:val="20"/>
        </w:rPr>
      </w:pPr>
      <w:r>
        <w:rPr>
          <w:sz w:val="20"/>
          <w:szCs w:val="20"/>
        </w:rPr>
        <w:t xml:space="preserve">In all the above methods, this is the victim UE the measures CLI. Such existing CLI can harm </w:t>
      </w:r>
      <w:r w:rsidR="00F14C06">
        <w:rPr>
          <w:sz w:val="20"/>
          <w:szCs w:val="20"/>
        </w:rPr>
        <w:t xml:space="preserve">an </w:t>
      </w:r>
      <w:r>
        <w:rPr>
          <w:sz w:val="20"/>
          <w:szCs w:val="20"/>
        </w:rPr>
        <w:t>on</w:t>
      </w:r>
      <w:r w:rsidR="00F14C06">
        <w:rPr>
          <w:sz w:val="20"/>
          <w:szCs w:val="20"/>
        </w:rPr>
        <w:t>-</w:t>
      </w:r>
      <w:r>
        <w:rPr>
          <w:sz w:val="20"/>
          <w:szCs w:val="20"/>
        </w:rPr>
        <w:t>going DL transmission toward victim UE</w:t>
      </w:r>
      <w:r w:rsidR="00F14C06">
        <w:rPr>
          <w:sz w:val="20"/>
          <w:szCs w:val="20"/>
        </w:rPr>
        <w:t>, especially if the process of CLI measurement, reporting back to the NW, and CLI management/cancellation is not optimized</w:t>
      </w:r>
      <w:r>
        <w:rPr>
          <w:sz w:val="20"/>
          <w:szCs w:val="20"/>
        </w:rPr>
        <w:t xml:space="preserve">. </w:t>
      </w:r>
      <w:r w:rsidR="00F943AF">
        <w:rPr>
          <w:sz w:val="20"/>
          <w:szCs w:val="20"/>
        </w:rPr>
        <w:t xml:space="preserve">On the other hand, a potential aggressor </w:t>
      </w:r>
      <w:r>
        <w:rPr>
          <w:sz w:val="20"/>
          <w:szCs w:val="20"/>
        </w:rPr>
        <w:t>UE</w:t>
      </w:r>
      <w:r w:rsidR="00F761C6" w:rsidRPr="008F533C">
        <w:rPr>
          <w:sz w:val="20"/>
          <w:szCs w:val="20"/>
        </w:rPr>
        <w:t xml:space="preserve"> </w:t>
      </w:r>
      <w:r w:rsidR="00F761C6">
        <w:rPr>
          <w:sz w:val="20"/>
          <w:szCs w:val="20"/>
        </w:rPr>
        <w:t xml:space="preserve">(i.e., a UE in UL) </w:t>
      </w:r>
      <w:r w:rsidR="00F14C06">
        <w:rPr>
          <w:sz w:val="20"/>
          <w:szCs w:val="20"/>
        </w:rPr>
        <w:t xml:space="preserve">can be indicated </w:t>
      </w:r>
      <w:r w:rsidR="00F943AF">
        <w:rPr>
          <w:sz w:val="20"/>
          <w:szCs w:val="20"/>
        </w:rPr>
        <w:t>to measure CLI</w:t>
      </w:r>
      <w:r>
        <w:rPr>
          <w:sz w:val="20"/>
          <w:szCs w:val="20"/>
        </w:rPr>
        <w:t xml:space="preserve">, </w:t>
      </w:r>
      <w:r w:rsidR="00F761C6">
        <w:rPr>
          <w:sz w:val="20"/>
          <w:szCs w:val="20"/>
        </w:rPr>
        <w:t>and possibly refrain from UL transmission if measured CLI is more than an indicated threshold</w:t>
      </w:r>
      <w:r w:rsidR="00F943AF">
        <w:rPr>
          <w:sz w:val="20"/>
          <w:szCs w:val="20"/>
        </w:rPr>
        <w:t xml:space="preserve">. </w:t>
      </w:r>
      <w:r>
        <w:rPr>
          <w:sz w:val="20"/>
          <w:szCs w:val="20"/>
        </w:rPr>
        <w:t xml:space="preserve">CLI measurement by aggressor UE requires that </w:t>
      </w:r>
      <w:r w:rsidR="00F14C06">
        <w:rPr>
          <w:sz w:val="20"/>
          <w:szCs w:val="20"/>
        </w:rPr>
        <w:t xml:space="preserve">the </w:t>
      </w:r>
      <w:r>
        <w:rPr>
          <w:sz w:val="20"/>
          <w:szCs w:val="20"/>
        </w:rPr>
        <w:t xml:space="preserve">victim UE to transmit some UL </w:t>
      </w:r>
      <w:r w:rsidR="00F14C06">
        <w:rPr>
          <w:sz w:val="20"/>
          <w:szCs w:val="20"/>
        </w:rPr>
        <w:t xml:space="preserve">transmission (e.g SRS) </w:t>
      </w:r>
      <w:r>
        <w:rPr>
          <w:sz w:val="20"/>
          <w:szCs w:val="20"/>
        </w:rPr>
        <w:t xml:space="preserve">within UL sub-band to be measured by </w:t>
      </w:r>
      <w:r w:rsidR="00F14C06">
        <w:rPr>
          <w:sz w:val="20"/>
          <w:szCs w:val="20"/>
        </w:rPr>
        <w:t xml:space="preserve">the </w:t>
      </w:r>
      <w:r>
        <w:rPr>
          <w:sz w:val="20"/>
          <w:szCs w:val="20"/>
        </w:rPr>
        <w:t>aggressor UE (so victim UE which normally receives needs to transmit a beacon and UL UE which normally transmits needs to measure CLI). Although this procedure has its own complexit</w:t>
      </w:r>
      <w:r w:rsidR="00F14C06">
        <w:rPr>
          <w:sz w:val="20"/>
          <w:szCs w:val="20"/>
        </w:rPr>
        <w:t>ies</w:t>
      </w:r>
      <w:r>
        <w:rPr>
          <w:sz w:val="20"/>
          <w:szCs w:val="20"/>
        </w:rPr>
        <w:t xml:space="preserve">, but </w:t>
      </w:r>
      <w:r w:rsidR="00FD76D3">
        <w:rPr>
          <w:sz w:val="20"/>
          <w:szCs w:val="20"/>
        </w:rPr>
        <w:t>it</w:t>
      </w:r>
      <w:r>
        <w:rPr>
          <w:sz w:val="20"/>
          <w:szCs w:val="20"/>
        </w:rPr>
        <w:t xml:space="preserve"> benefit</w:t>
      </w:r>
      <w:r w:rsidR="00FD76D3">
        <w:rPr>
          <w:sz w:val="20"/>
          <w:szCs w:val="20"/>
        </w:rPr>
        <w:t>s</w:t>
      </w:r>
      <w:r>
        <w:rPr>
          <w:sz w:val="20"/>
          <w:szCs w:val="20"/>
        </w:rPr>
        <w:t xml:space="preserve"> i</w:t>
      </w:r>
      <w:r w:rsidR="00FD76D3">
        <w:rPr>
          <w:sz w:val="20"/>
          <w:szCs w:val="20"/>
        </w:rPr>
        <w:t>n the sense that</w:t>
      </w:r>
      <w:r>
        <w:rPr>
          <w:sz w:val="20"/>
          <w:szCs w:val="20"/>
        </w:rPr>
        <w:t xml:space="preserve"> victim UE is potentially more protected from aggressor UEs when an UL aggressor UE </w:t>
      </w:r>
      <w:r w:rsidR="00AA07C1">
        <w:rPr>
          <w:sz w:val="20"/>
          <w:szCs w:val="20"/>
        </w:rPr>
        <w:t xml:space="preserve">refrains from UL transmission if a nearby victim UE is identified. </w:t>
      </w:r>
      <w:r w:rsidR="00F943AF">
        <w:rPr>
          <w:sz w:val="20"/>
          <w:szCs w:val="20"/>
        </w:rPr>
        <w:t>Given that UL sub-band for</w:t>
      </w:r>
      <w:r w:rsidR="00F761C6">
        <w:rPr>
          <w:sz w:val="20"/>
          <w:szCs w:val="20"/>
        </w:rPr>
        <w:t xml:space="preserve"> an</w:t>
      </w:r>
      <w:r w:rsidR="00F943AF">
        <w:rPr>
          <w:sz w:val="20"/>
          <w:szCs w:val="20"/>
        </w:rPr>
        <w:t xml:space="preserve"> aggressor UE</w:t>
      </w:r>
      <w:r w:rsidR="00F761C6">
        <w:rPr>
          <w:sz w:val="20"/>
          <w:szCs w:val="20"/>
        </w:rPr>
        <w:t xml:space="preserve"> </w:t>
      </w:r>
      <w:r w:rsidR="00F943AF">
        <w:rPr>
          <w:sz w:val="20"/>
          <w:szCs w:val="20"/>
        </w:rPr>
        <w:t xml:space="preserve">shall be within UE’s UL BWP, UE cannot be indicated to measure </w:t>
      </w:r>
      <w:r w:rsidR="00F761C6">
        <w:rPr>
          <w:sz w:val="20"/>
          <w:szCs w:val="20"/>
        </w:rPr>
        <w:t xml:space="preserve">CLI </w:t>
      </w:r>
      <w:r w:rsidR="00F943AF">
        <w:rPr>
          <w:sz w:val="20"/>
          <w:szCs w:val="20"/>
        </w:rPr>
        <w:t xml:space="preserve">over a non-contiguous CSI-RS </w:t>
      </w:r>
      <w:r w:rsidR="00F761C6">
        <w:rPr>
          <w:sz w:val="20"/>
          <w:szCs w:val="20"/>
        </w:rPr>
        <w:t xml:space="preserve">(or CLI-RSSI) resource that is out of UL sub-band. </w:t>
      </w:r>
      <w:r w:rsidR="00C37C6E">
        <w:rPr>
          <w:sz w:val="20"/>
          <w:szCs w:val="20"/>
        </w:rPr>
        <w:t xml:space="preserve">It is also important to note that the procedure to identify the victim and aggressor UEs shall also work for legacy victim UEs, for which no additional enhancement is envisioned. Obviously, legacy victim UEs cannot be asked to measure CLI but they can be indicated to transmit (e.g. SRS) in UL. </w:t>
      </w:r>
    </w:p>
    <w:p w14:paraId="7D8F6861" w14:textId="77777777" w:rsidR="00C37C6E" w:rsidRDefault="00C37C6E" w:rsidP="00B5429D">
      <w:pPr>
        <w:jc w:val="both"/>
        <w:rPr>
          <w:sz w:val="20"/>
          <w:szCs w:val="20"/>
        </w:rPr>
      </w:pPr>
    </w:p>
    <w:p w14:paraId="259DD103" w14:textId="773533D4" w:rsidR="00C37C6E" w:rsidRPr="00B5429D" w:rsidRDefault="00C37C6E" w:rsidP="00C37C6E">
      <w:pPr>
        <w:jc w:val="both"/>
        <w:rPr>
          <w:sz w:val="20"/>
          <w:szCs w:val="20"/>
        </w:rPr>
      </w:pPr>
      <w:r>
        <w:rPr>
          <w:sz w:val="20"/>
          <w:szCs w:val="20"/>
        </w:rPr>
        <w:t>Based on what we discussed, the following is propo</w:t>
      </w:r>
      <w:r w:rsidR="00B80610">
        <w:rPr>
          <w:sz w:val="20"/>
          <w:szCs w:val="20"/>
        </w:rPr>
        <w:t>sed:</w:t>
      </w:r>
      <w:r w:rsidR="00FA0FCA">
        <w:rPr>
          <w:sz w:val="20"/>
          <w:szCs w:val="20"/>
        </w:rPr>
        <w:t xml:space="preserve"> </w:t>
      </w:r>
    </w:p>
    <w:p w14:paraId="377C929F" w14:textId="77777777" w:rsidR="00F761C6" w:rsidRDefault="00F761C6" w:rsidP="00B5429D">
      <w:pPr>
        <w:jc w:val="both"/>
        <w:rPr>
          <w:sz w:val="20"/>
          <w:szCs w:val="20"/>
        </w:rPr>
      </w:pPr>
    </w:p>
    <w:p w14:paraId="7E19235D" w14:textId="21F96A35" w:rsidR="003F2E4A" w:rsidRPr="00C37C6E" w:rsidRDefault="00F61A78" w:rsidP="00C37C6E">
      <w:pPr>
        <w:pStyle w:val="0Maintext"/>
        <w:spacing w:after="120" w:afterAutospacing="0" w:line="240" w:lineRule="auto"/>
        <w:ind w:firstLine="0"/>
      </w:pPr>
      <w:r w:rsidRPr="00F61A78">
        <w:rPr>
          <w:b/>
          <w:bCs/>
          <w:lang w:val="en-US" w:eastAsia="zh-CN"/>
        </w:rPr>
        <w:t xml:space="preserve">Proposal </w:t>
      </w:r>
      <w:r w:rsidR="00F14C06">
        <w:rPr>
          <w:b/>
          <w:bCs/>
          <w:lang w:val="en-US" w:eastAsia="zh-CN"/>
        </w:rPr>
        <w:t>5</w:t>
      </w:r>
      <w:r w:rsidRPr="00F61A78">
        <w:rPr>
          <w:lang w:val="en-US" w:eastAsia="zh-CN"/>
        </w:rPr>
        <w:t xml:space="preserve">: </w:t>
      </w:r>
      <w:r w:rsidR="00C339D8">
        <w:t>Potential a</w:t>
      </w:r>
      <w:r w:rsidR="00AA07C1">
        <w:t>ggressor UL UE can be indicated to measure</w:t>
      </w:r>
      <w:r w:rsidRPr="00F61A78">
        <w:t xml:space="preserve"> </w:t>
      </w:r>
      <w:r w:rsidR="00AA07C1">
        <w:t xml:space="preserve">CLI </w:t>
      </w:r>
      <w:r w:rsidR="00AA07C1" w:rsidRPr="00F61A78">
        <w:rPr>
          <w:lang w:val="en-US" w:eastAsia="zh-CN"/>
        </w:rPr>
        <w:t>within UL sub-band</w:t>
      </w:r>
      <w:r w:rsidRPr="00F61A78">
        <w:t>.</w:t>
      </w:r>
    </w:p>
    <w:p w14:paraId="7527A9E0" w14:textId="77777777" w:rsidR="00021186" w:rsidRDefault="00021186" w:rsidP="00021186">
      <w:pPr>
        <w:pStyle w:val="0Maintext"/>
        <w:spacing w:after="120" w:afterAutospacing="0" w:line="240" w:lineRule="auto"/>
        <w:ind w:firstLine="0"/>
      </w:pPr>
    </w:p>
    <w:p w14:paraId="319B6700" w14:textId="2C7FF69F" w:rsidR="007A1F9E" w:rsidRDefault="007A1F9E" w:rsidP="007A1F9E">
      <w:pPr>
        <w:pStyle w:val="Heading1"/>
      </w:pPr>
      <w:r>
        <w:t>Conclusion</w:t>
      </w:r>
    </w:p>
    <w:p w14:paraId="493C61C7" w14:textId="64266EC2"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EB225C">
        <w:rPr>
          <w:lang w:val="en-US" w:eastAsia="zh-CN"/>
        </w:rPr>
        <w:t xml:space="preserve">our views on CLI management </w:t>
      </w:r>
      <w:r w:rsidR="008C6E16">
        <w:rPr>
          <w:lang w:val="en-US" w:eastAsia="zh-CN"/>
        </w:rPr>
        <w:t>for full-duplex operation at gNB</w:t>
      </w:r>
      <w:r w:rsidR="00CA3110">
        <w:rPr>
          <w:lang w:val="en-US" w:eastAsia="zh-CN"/>
        </w:rPr>
        <w:t>. Based on what we discussed, the following proposal</w:t>
      </w:r>
      <w:r w:rsidR="008C6E16">
        <w:rPr>
          <w:lang w:val="en-US" w:eastAsia="zh-CN"/>
        </w:rPr>
        <w:t xml:space="preserve">s </w:t>
      </w:r>
      <w:r w:rsidR="00CA3110">
        <w:rPr>
          <w:lang w:val="en-US" w:eastAsia="zh-CN"/>
        </w:rPr>
        <w:t>are made:</w:t>
      </w:r>
    </w:p>
    <w:p w14:paraId="2F7F67E9" w14:textId="20EE6EC3" w:rsidR="00C339D8" w:rsidRPr="00C339D8" w:rsidRDefault="00C339D8" w:rsidP="00C339D8">
      <w:pPr>
        <w:pStyle w:val="0Maintext"/>
        <w:spacing w:after="120" w:afterAutospacing="0" w:line="240" w:lineRule="auto"/>
        <w:ind w:firstLine="0"/>
        <w:rPr>
          <w:rFonts w:eastAsia="Malgun Gothic" w:cs="Times New Roman"/>
          <w:lang w:eastAsia="zh-CN"/>
        </w:rPr>
      </w:pPr>
      <w:r w:rsidRPr="00F61A78">
        <w:rPr>
          <w:b/>
          <w:bCs/>
          <w:lang w:val="en-US" w:eastAsia="zh-CN"/>
        </w:rPr>
        <w:t xml:space="preserve">Proposal </w:t>
      </w:r>
      <w:r>
        <w:rPr>
          <w:b/>
          <w:bCs/>
          <w:lang w:val="en-US" w:eastAsia="zh-CN"/>
        </w:rPr>
        <w:t>1</w:t>
      </w:r>
      <w:r w:rsidRPr="00F61A78">
        <w:rPr>
          <w:lang w:val="en-US" w:eastAsia="zh-CN"/>
        </w:rPr>
        <w:t xml:space="preserve">: </w:t>
      </w:r>
      <w:r w:rsidRPr="006041D6">
        <w:rPr>
          <w:rFonts w:eastAsia="Malgun Gothic" w:cs="Times New Roman"/>
          <w:lang w:eastAsia="zh-CN"/>
        </w:rPr>
        <w:t>For SBFD-aware UEs</w:t>
      </w:r>
      <w:r>
        <w:rPr>
          <w:rFonts w:eastAsia="Malgun Gothic" w:cs="Times New Roman"/>
          <w:lang w:eastAsia="zh-CN"/>
        </w:rPr>
        <w:t xml:space="preserve">, </w:t>
      </w:r>
      <w:r w:rsidRPr="006041D6">
        <w:rPr>
          <w:rFonts w:eastAsia="Malgun Gothic" w:cs="Times New Roman"/>
          <w:lang w:eastAsia="zh-CN"/>
        </w:rPr>
        <w:t xml:space="preserve">DL receptions outside semi-statically configured DL subband(s) </w:t>
      </w:r>
      <w:r>
        <w:rPr>
          <w:rFonts w:eastAsia="Malgun Gothic" w:cs="Times New Roman"/>
          <w:lang w:eastAsia="zh-CN"/>
        </w:rPr>
        <w:t>or</w:t>
      </w:r>
      <w:r w:rsidRPr="006041D6">
        <w:rPr>
          <w:rFonts w:eastAsia="Malgun Gothic" w:cs="Times New Roman"/>
          <w:lang w:eastAsia="zh-CN"/>
        </w:rPr>
        <w:t xml:space="preserve"> UL transmissions outside semi-statically configured UL subband are not allowed</w:t>
      </w:r>
      <w:r>
        <w:rPr>
          <w:rFonts w:eastAsia="Malgun Gothic" w:cs="Times New Roman"/>
          <w:lang w:eastAsia="zh-CN"/>
        </w:rPr>
        <w:t>.</w:t>
      </w:r>
    </w:p>
    <w:p w14:paraId="5C77F2FD" w14:textId="761BE562" w:rsidR="00C339D8" w:rsidRPr="00C339D8" w:rsidRDefault="00C339D8" w:rsidP="00C339D8">
      <w:pPr>
        <w:pStyle w:val="0Maintext"/>
        <w:spacing w:line="240" w:lineRule="auto"/>
        <w:ind w:firstLine="0"/>
        <w:rPr>
          <w:rFonts w:eastAsia="Malgun Gothic" w:cs="Times"/>
          <w:lang w:val="en-US"/>
        </w:rPr>
      </w:pPr>
      <w:r w:rsidRPr="00B46FAB">
        <w:rPr>
          <w:rFonts w:eastAsia="Malgun Gothic" w:cs="Times"/>
          <w:b/>
          <w:bCs/>
          <w:lang w:val="en-US"/>
        </w:rPr>
        <w:t xml:space="preserve">Proposal </w:t>
      </w:r>
      <w:r>
        <w:rPr>
          <w:rFonts w:eastAsia="Malgun Gothic" w:cs="Times"/>
          <w:b/>
          <w:bCs/>
          <w:lang w:val="en-US"/>
        </w:rPr>
        <w:t>2</w:t>
      </w:r>
      <w:r w:rsidRPr="00B46FAB">
        <w:rPr>
          <w:rFonts w:eastAsia="Malgun Gothic" w:cs="Times"/>
          <w:lang w:val="en-US"/>
        </w:rPr>
        <w:t>: UE does not expect a PUSCH transmission occasion spans in time both SBFD and non-SBFD symbols</w:t>
      </w:r>
      <w:r>
        <w:rPr>
          <w:rFonts w:eastAsia="Malgun Gothic" w:cs="Times"/>
          <w:lang w:val="en-US"/>
        </w:rPr>
        <w:t>.</w:t>
      </w:r>
    </w:p>
    <w:p w14:paraId="00B1CAFA" w14:textId="77777777" w:rsidR="00C339D8" w:rsidRDefault="00C339D8" w:rsidP="00C339D8">
      <w:pPr>
        <w:pStyle w:val="0Maintext"/>
        <w:spacing w:after="0" w:afterAutospacing="0" w:line="240" w:lineRule="auto"/>
        <w:ind w:firstLine="0"/>
        <w:rPr>
          <w:rFonts w:eastAsia="Malgun Gothic" w:cs="Times"/>
          <w:lang w:val="en-US"/>
        </w:rPr>
      </w:pPr>
      <w:r w:rsidRPr="00DB0DF0">
        <w:rPr>
          <w:rFonts w:eastAsia="Malgun Gothic" w:cs="Times"/>
          <w:b/>
          <w:bCs/>
          <w:lang w:val="en-US"/>
        </w:rPr>
        <w:t xml:space="preserve">Proposal </w:t>
      </w:r>
      <w:r>
        <w:rPr>
          <w:rFonts w:eastAsia="Malgun Gothic" w:cs="Times"/>
          <w:b/>
          <w:bCs/>
          <w:lang w:val="en-US"/>
        </w:rPr>
        <w:t>3</w:t>
      </w:r>
      <w:r w:rsidRPr="00DB0DF0">
        <w:rPr>
          <w:rFonts w:eastAsia="Malgun Gothic" w:cs="Times"/>
          <w:lang w:val="en-US"/>
        </w:rPr>
        <w:t>: If within a SBFD symbol a SBFD aware UE is scheduled to simultaneously receive and transmit, respectively on DL and UL sub-bands</w:t>
      </w:r>
      <w:r>
        <w:rPr>
          <w:rFonts w:eastAsia="Malgun Gothic" w:cs="Times"/>
          <w:lang w:val="en-US"/>
        </w:rPr>
        <w:t xml:space="preserve">, </w:t>
      </w:r>
      <w:r w:rsidRPr="00DB0DF0">
        <w:rPr>
          <w:rFonts w:eastAsia="Malgun Gothic" w:cs="Times"/>
          <w:lang w:val="en-US"/>
        </w:rPr>
        <w:t>dynamic grant is prioritized</w:t>
      </w:r>
      <w:r>
        <w:rPr>
          <w:rFonts w:eastAsia="Malgun Gothic" w:cs="Times"/>
          <w:lang w:val="en-US"/>
        </w:rPr>
        <w:t>.</w:t>
      </w:r>
    </w:p>
    <w:p w14:paraId="3FC47DFC" w14:textId="77777777" w:rsidR="00C339D8" w:rsidRDefault="00C339D8" w:rsidP="00C339D8">
      <w:pPr>
        <w:pStyle w:val="0Maintext"/>
        <w:spacing w:after="0" w:afterAutospacing="0" w:line="240" w:lineRule="auto"/>
        <w:ind w:left="576" w:firstLine="0"/>
        <w:rPr>
          <w:rFonts w:eastAsia="Malgun Gothic" w:cs="Times"/>
          <w:lang w:val="en-US"/>
        </w:rPr>
      </w:pPr>
      <w:r>
        <w:rPr>
          <w:rFonts w:eastAsia="Malgun Gothic" w:cs="Times"/>
          <w:lang w:val="en-US"/>
        </w:rPr>
        <w:t>I</w:t>
      </w:r>
      <w:r w:rsidRPr="00DB0DF0">
        <w:rPr>
          <w:rFonts w:eastAsia="Malgun Gothic" w:cs="Times"/>
          <w:lang w:val="en-US"/>
        </w:rPr>
        <w:t xml:space="preserve">f </w:t>
      </w:r>
      <w:r>
        <w:rPr>
          <w:rFonts w:eastAsia="Malgun Gothic" w:cs="Times"/>
          <w:lang w:val="en-US"/>
        </w:rPr>
        <w:t>neither</w:t>
      </w:r>
      <w:r w:rsidRPr="00DB0DF0">
        <w:rPr>
          <w:rFonts w:eastAsia="Malgun Gothic" w:cs="Times"/>
          <w:lang w:val="en-US"/>
        </w:rPr>
        <w:t xml:space="preserve"> UL</w:t>
      </w:r>
      <w:r>
        <w:rPr>
          <w:rFonts w:eastAsia="Malgun Gothic" w:cs="Times"/>
          <w:lang w:val="en-US"/>
        </w:rPr>
        <w:t xml:space="preserve"> nor</w:t>
      </w:r>
      <w:r w:rsidRPr="00DB0DF0">
        <w:rPr>
          <w:rFonts w:eastAsia="Malgun Gothic" w:cs="Times"/>
          <w:lang w:val="en-US"/>
        </w:rPr>
        <w:t xml:space="preserve"> DL are dynamic</w:t>
      </w:r>
      <w:r>
        <w:rPr>
          <w:rFonts w:eastAsia="Malgun Gothic" w:cs="Times"/>
          <w:lang w:val="en-US"/>
        </w:rPr>
        <w:t>ally indicated, UL resource is prioritized</w:t>
      </w:r>
    </w:p>
    <w:p w14:paraId="290416D9" w14:textId="77777777" w:rsidR="00C339D8" w:rsidRDefault="00C339D8" w:rsidP="00C339D8">
      <w:pPr>
        <w:pStyle w:val="0Maintext"/>
        <w:spacing w:after="0" w:afterAutospacing="0" w:line="240" w:lineRule="auto"/>
        <w:ind w:firstLine="0"/>
        <w:rPr>
          <w:rFonts w:eastAsia="Malgun Gothic" w:cs="Times"/>
          <w:color w:val="000000" w:themeColor="text1"/>
          <w:lang w:val="en-US"/>
        </w:rPr>
      </w:pPr>
    </w:p>
    <w:p w14:paraId="1CED56D4" w14:textId="77777777" w:rsidR="00C339D8" w:rsidRDefault="00C339D8" w:rsidP="00C339D8">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4</w:t>
      </w:r>
      <w:r w:rsidRPr="00271C28">
        <w:rPr>
          <w:rFonts w:eastAsia="Malgun Gothic" w:cs="Times"/>
          <w:color w:val="000000" w:themeColor="text1"/>
          <w:lang w:val="en-US"/>
        </w:rPr>
        <w:t>: gNB indicates a new bitmask based on which UE is indicated if a SSB block overlapping with SBFD symbols can be used for SSB measurement or for UL transmission</w:t>
      </w:r>
      <w:r>
        <w:rPr>
          <w:rFonts w:eastAsia="Malgun Gothic" w:cs="Times"/>
          <w:color w:val="000000" w:themeColor="text1"/>
          <w:lang w:val="en-US"/>
        </w:rPr>
        <w:t>. The bitmask can be cell-specific or UE specific.</w:t>
      </w:r>
    </w:p>
    <w:p w14:paraId="73A7AE47" w14:textId="77777777" w:rsidR="00C339D8" w:rsidRDefault="00C339D8" w:rsidP="00C339D8">
      <w:pPr>
        <w:jc w:val="both"/>
        <w:rPr>
          <w:sz w:val="20"/>
          <w:szCs w:val="20"/>
        </w:rPr>
      </w:pPr>
    </w:p>
    <w:p w14:paraId="3173FDD1" w14:textId="1A8BEEE5" w:rsidR="00BD74B0" w:rsidRPr="00C37C6E" w:rsidRDefault="00C339D8" w:rsidP="00361704">
      <w:pPr>
        <w:pStyle w:val="0Maintext"/>
        <w:spacing w:after="120" w:afterAutospacing="0" w:line="240" w:lineRule="auto"/>
        <w:ind w:firstLine="0"/>
      </w:pPr>
      <w:r w:rsidRPr="00F61A78">
        <w:rPr>
          <w:b/>
          <w:bCs/>
          <w:lang w:val="en-US" w:eastAsia="zh-CN"/>
        </w:rPr>
        <w:t xml:space="preserve">Proposal </w:t>
      </w:r>
      <w:r>
        <w:rPr>
          <w:b/>
          <w:bCs/>
          <w:lang w:val="en-US" w:eastAsia="zh-CN"/>
        </w:rPr>
        <w:t>5</w:t>
      </w:r>
      <w:r w:rsidRPr="00F61A78">
        <w:rPr>
          <w:lang w:val="en-US" w:eastAsia="zh-CN"/>
        </w:rPr>
        <w:t xml:space="preserve">: </w:t>
      </w:r>
      <w:r w:rsidR="00C37C6E">
        <w:t>Potential a</w:t>
      </w:r>
      <w:r>
        <w:t>ggressor UL UE can be indicated to measure</w:t>
      </w:r>
      <w:r w:rsidRPr="00F61A78">
        <w:t xml:space="preserve"> </w:t>
      </w:r>
      <w:r>
        <w:t xml:space="preserve">CLI </w:t>
      </w:r>
      <w:r w:rsidRPr="00F61A78">
        <w:rPr>
          <w:lang w:val="en-US" w:eastAsia="zh-CN"/>
        </w:rPr>
        <w:t>within UL sub-band</w:t>
      </w:r>
      <w:r w:rsidRPr="00F61A78">
        <w:t>.</w:t>
      </w:r>
    </w:p>
    <w:p w14:paraId="7E51A379" w14:textId="0F8791F1" w:rsidR="00620C29" w:rsidRPr="004A7A40" w:rsidRDefault="004A7A40" w:rsidP="004A7A40">
      <w:pPr>
        <w:pStyle w:val="Heading1"/>
      </w:pPr>
      <w:r>
        <w:t>References</w:t>
      </w:r>
    </w:p>
    <w:p w14:paraId="05477947" w14:textId="1E2D3E4E" w:rsidR="00EF1791" w:rsidRPr="008E0B6D"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1B4412"/>
    <w:multiLevelType w:val="hybridMultilevel"/>
    <w:tmpl w:val="4D84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A54850"/>
    <w:multiLevelType w:val="hybridMultilevel"/>
    <w:tmpl w:val="E9108D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8E4D5D"/>
    <w:multiLevelType w:val="hybridMultilevel"/>
    <w:tmpl w:val="3EF0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A3364A6"/>
    <w:multiLevelType w:val="hybridMultilevel"/>
    <w:tmpl w:val="1740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CE0E7E"/>
    <w:multiLevelType w:val="hybridMultilevel"/>
    <w:tmpl w:val="34DA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41EC0"/>
    <w:multiLevelType w:val="multilevel"/>
    <w:tmpl w:val="72F41EC0"/>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i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6"/>
  </w:num>
  <w:num w:numId="2" w16cid:durableId="98794354">
    <w:abstractNumId w:val="33"/>
  </w:num>
  <w:num w:numId="3" w16cid:durableId="143937015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3"/>
  </w:num>
  <w:num w:numId="6" w16cid:durableId="1855418263">
    <w:abstractNumId w:val="6"/>
  </w:num>
  <w:num w:numId="7" w16cid:durableId="1158962368">
    <w:abstractNumId w:val="8"/>
  </w:num>
  <w:num w:numId="8" w16cid:durableId="124978665">
    <w:abstractNumId w:val="31"/>
  </w:num>
  <w:num w:numId="9" w16cid:durableId="1560631235">
    <w:abstractNumId w:val="6"/>
  </w:num>
  <w:num w:numId="10" w16cid:durableId="1957518174">
    <w:abstractNumId w:val="30"/>
  </w:num>
  <w:num w:numId="11" w16cid:durableId="148325099">
    <w:abstractNumId w:val="36"/>
  </w:num>
  <w:num w:numId="12" w16cid:durableId="1367829081">
    <w:abstractNumId w:val="6"/>
  </w:num>
  <w:num w:numId="13" w16cid:durableId="1458793434">
    <w:abstractNumId w:val="24"/>
  </w:num>
  <w:num w:numId="14" w16cid:durableId="1120991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0"/>
  </w:num>
  <w:num w:numId="16" w16cid:durableId="753893123">
    <w:abstractNumId w:val="3"/>
  </w:num>
  <w:num w:numId="17" w16cid:durableId="298189470">
    <w:abstractNumId w:val="9"/>
  </w:num>
  <w:num w:numId="18" w16cid:durableId="967591525">
    <w:abstractNumId w:val="23"/>
  </w:num>
  <w:num w:numId="19" w16cid:durableId="1887063373">
    <w:abstractNumId w:val="5"/>
  </w:num>
  <w:num w:numId="20" w16cid:durableId="995575650">
    <w:abstractNumId w:val="20"/>
  </w:num>
  <w:num w:numId="21" w16cid:durableId="91947407">
    <w:abstractNumId w:val="35"/>
  </w:num>
  <w:num w:numId="22" w16cid:durableId="1929462533">
    <w:abstractNumId w:val="14"/>
  </w:num>
  <w:num w:numId="23" w16cid:durableId="1401320232">
    <w:abstractNumId w:val="17"/>
  </w:num>
  <w:num w:numId="24" w16cid:durableId="728695090">
    <w:abstractNumId w:val="12"/>
  </w:num>
  <w:num w:numId="25" w16cid:durableId="1297101469">
    <w:abstractNumId w:val="4"/>
  </w:num>
  <w:num w:numId="26" w16cid:durableId="776487168">
    <w:abstractNumId w:val="28"/>
  </w:num>
  <w:num w:numId="27" w16cid:durableId="601576533">
    <w:abstractNumId w:val="7"/>
  </w:num>
  <w:num w:numId="28" w16cid:durableId="191959298">
    <w:abstractNumId w:val="11"/>
  </w:num>
  <w:num w:numId="29" w16cid:durableId="52045612">
    <w:abstractNumId w:val="26"/>
  </w:num>
  <w:num w:numId="30" w16cid:durableId="1090002070">
    <w:abstractNumId w:val="27"/>
  </w:num>
  <w:num w:numId="31" w16cid:durableId="16123033">
    <w:abstractNumId w:val="29"/>
  </w:num>
  <w:num w:numId="32" w16cid:durableId="298923339">
    <w:abstractNumId w:val="21"/>
  </w:num>
  <w:num w:numId="33" w16cid:durableId="1068647798">
    <w:abstractNumId w:val="18"/>
  </w:num>
  <w:num w:numId="34" w16cid:durableId="422070806">
    <w:abstractNumId w:val="25"/>
  </w:num>
  <w:num w:numId="35" w16cid:durableId="78790256">
    <w:abstractNumId w:val="22"/>
  </w:num>
  <w:num w:numId="36" w16cid:durableId="1267929270">
    <w:abstractNumId w:val="34"/>
  </w:num>
  <w:num w:numId="37" w16cid:durableId="278610811">
    <w:abstractNumId w:val="1"/>
  </w:num>
  <w:num w:numId="38" w16cid:durableId="55474608">
    <w:abstractNumId w:val="16"/>
  </w:num>
  <w:num w:numId="39" w16cid:durableId="1504776636">
    <w:abstractNumId w:val="32"/>
  </w:num>
  <w:num w:numId="40" w16cid:durableId="179131566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065C0"/>
    <w:rsid w:val="000100B5"/>
    <w:rsid w:val="000115C8"/>
    <w:rsid w:val="0001291B"/>
    <w:rsid w:val="00017B94"/>
    <w:rsid w:val="00017E93"/>
    <w:rsid w:val="00021186"/>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0374"/>
    <w:rsid w:val="00071AFF"/>
    <w:rsid w:val="000756C7"/>
    <w:rsid w:val="0007732F"/>
    <w:rsid w:val="00081B2B"/>
    <w:rsid w:val="00082F1E"/>
    <w:rsid w:val="00085223"/>
    <w:rsid w:val="0008670F"/>
    <w:rsid w:val="000923EC"/>
    <w:rsid w:val="000A1890"/>
    <w:rsid w:val="000A79C9"/>
    <w:rsid w:val="000B2E59"/>
    <w:rsid w:val="000C0C18"/>
    <w:rsid w:val="000C2A74"/>
    <w:rsid w:val="000C3751"/>
    <w:rsid w:val="000C7006"/>
    <w:rsid w:val="000D068D"/>
    <w:rsid w:val="000D0F78"/>
    <w:rsid w:val="000D2660"/>
    <w:rsid w:val="000D4A1A"/>
    <w:rsid w:val="000D5446"/>
    <w:rsid w:val="000D54C9"/>
    <w:rsid w:val="000D70DF"/>
    <w:rsid w:val="000E2519"/>
    <w:rsid w:val="000F2C70"/>
    <w:rsid w:val="0010159D"/>
    <w:rsid w:val="0010269A"/>
    <w:rsid w:val="001033DC"/>
    <w:rsid w:val="00103D56"/>
    <w:rsid w:val="00103EC9"/>
    <w:rsid w:val="00107247"/>
    <w:rsid w:val="001139F4"/>
    <w:rsid w:val="00115F3F"/>
    <w:rsid w:val="0012163E"/>
    <w:rsid w:val="00127219"/>
    <w:rsid w:val="00130A25"/>
    <w:rsid w:val="0013108B"/>
    <w:rsid w:val="00134A16"/>
    <w:rsid w:val="00134CE7"/>
    <w:rsid w:val="00135749"/>
    <w:rsid w:val="00140849"/>
    <w:rsid w:val="0014756C"/>
    <w:rsid w:val="001511AC"/>
    <w:rsid w:val="00153773"/>
    <w:rsid w:val="0015382F"/>
    <w:rsid w:val="00161E92"/>
    <w:rsid w:val="00162C20"/>
    <w:rsid w:val="001655D0"/>
    <w:rsid w:val="0016607C"/>
    <w:rsid w:val="001661E0"/>
    <w:rsid w:val="00180C32"/>
    <w:rsid w:val="0018214E"/>
    <w:rsid w:val="0018269A"/>
    <w:rsid w:val="00184D3F"/>
    <w:rsid w:val="00185A0B"/>
    <w:rsid w:val="0018607A"/>
    <w:rsid w:val="001872BA"/>
    <w:rsid w:val="00193222"/>
    <w:rsid w:val="00194BBD"/>
    <w:rsid w:val="0019597B"/>
    <w:rsid w:val="001A1E71"/>
    <w:rsid w:val="001A3273"/>
    <w:rsid w:val="001A3D28"/>
    <w:rsid w:val="001A4FA2"/>
    <w:rsid w:val="001A5A42"/>
    <w:rsid w:val="001A5F2D"/>
    <w:rsid w:val="001A7C0A"/>
    <w:rsid w:val="001B0BC6"/>
    <w:rsid w:val="001B3F28"/>
    <w:rsid w:val="001B4E23"/>
    <w:rsid w:val="001B5175"/>
    <w:rsid w:val="001B7BEC"/>
    <w:rsid w:val="001C0CB6"/>
    <w:rsid w:val="001C0ED7"/>
    <w:rsid w:val="001C3A5E"/>
    <w:rsid w:val="001C3DE0"/>
    <w:rsid w:val="001C4241"/>
    <w:rsid w:val="001C53C6"/>
    <w:rsid w:val="001C71ED"/>
    <w:rsid w:val="001D4036"/>
    <w:rsid w:val="001D4551"/>
    <w:rsid w:val="001D5F61"/>
    <w:rsid w:val="001D6F74"/>
    <w:rsid w:val="001D73FF"/>
    <w:rsid w:val="001E041B"/>
    <w:rsid w:val="001E62A2"/>
    <w:rsid w:val="001E73AB"/>
    <w:rsid w:val="001E7C26"/>
    <w:rsid w:val="001F1442"/>
    <w:rsid w:val="001F2BAC"/>
    <w:rsid w:val="001F43B5"/>
    <w:rsid w:val="00203A0D"/>
    <w:rsid w:val="00205FF8"/>
    <w:rsid w:val="002134C9"/>
    <w:rsid w:val="00214DB5"/>
    <w:rsid w:val="00215CAC"/>
    <w:rsid w:val="0022064E"/>
    <w:rsid w:val="00222C64"/>
    <w:rsid w:val="0022367D"/>
    <w:rsid w:val="00227ADC"/>
    <w:rsid w:val="002302B1"/>
    <w:rsid w:val="00231473"/>
    <w:rsid w:val="00232779"/>
    <w:rsid w:val="00242650"/>
    <w:rsid w:val="00245D27"/>
    <w:rsid w:val="00252B41"/>
    <w:rsid w:val="002562BF"/>
    <w:rsid w:val="00256314"/>
    <w:rsid w:val="00256E42"/>
    <w:rsid w:val="00263926"/>
    <w:rsid w:val="00266E0F"/>
    <w:rsid w:val="002672E4"/>
    <w:rsid w:val="002679CB"/>
    <w:rsid w:val="00270C5A"/>
    <w:rsid w:val="0027181A"/>
    <w:rsid w:val="00271C28"/>
    <w:rsid w:val="00274F27"/>
    <w:rsid w:val="00277B82"/>
    <w:rsid w:val="002814E7"/>
    <w:rsid w:val="00284AB0"/>
    <w:rsid w:val="00285B13"/>
    <w:rsid w:val="0029000E"/>
    <w:rsid w:val="002948FF"/>
    <w:rsid w:val="0029769A"/>
    <w:rsid w:val="002A1F80"/>
    <w:rsid w:val="002A274D"/>
    <w:rsid w:val="002A5795"/>
    <w:rsid w:val="002A5B21"/>
    <w:rsid w:val="002A7EFF"/>
    <w:rsid w:val="002B0171"/>
    <w:rsid w:val="002B21D4"/>
    <w:rsid w:val="002B4CB2"/>
    <w:rsid w:val="002B72F3"/>
    <w:rsid w:val="002C1494"/>
    <w:rsid w:val="002C2CE9"/>
    <w:rsid w:val="002C4EFD"/>
    <w:rsid w:val="002C7880"/>
    <w:rsid w:val="002C796C"/>
    <w:rsid w:val="002D2BEB"/>
    <w:rsid w:val="002D2CAA"/>
    <w:rsid w:val="002D2FF0"/>
    <w:rsid w:val="002D4B22"/>
    <w:rsid w:val="002D6F69"/>
    <w:rsid w:val="002E2806"/>
    <w:rsid w:val="002E337E"/>
    <w:rsid w:val="002E5153"/>
    <w:rsid w:val="002E7D5F"/>
    <w:rsid w:val="002F0201"/>
    <w:rsid w:val="002F3060"/>
    <w:rsid w:val="002F33E1"/>
    <w:rsid w:val="002F45F1"/>
    <w:rsid w:val="00300829"/>
    <w:rsid w:val="00300A71"/>
    <w:rsid w:val="00301356"/>
    <w:rsid w:val="00303DD4"/>
    <w:rsid w:val="0030554A"/>
    <w:rsid w:val="00306493"/>
    <w:rsid w:val="003105DC"/>
    <w:rsid w:val="00311CE0"/>
    <w:rsid w:val="0031378A"/>
    <w:rsid w:val="00315F36"/>
    <w:rsid w:val="00322AFC"/>
    <w:rsid w:val="003262D0"/>
    <w:rsid w:val="00326AED"/>
    <w:rsid w:val="0034417B"/>
    <w:rsid w:val="00344AE3"/>
    <w:rsid w:val="00351207"/>
    <w:rsid w:val="0035243D"/>
    <w:rsid w:val="00352D9C"/>
    <w:rsid w:val="00354CD9"/>
    <w:rsid w:val="00360734"/>
    <w:rsid w:val="00360E10"/>
    <w:rsid w:val="00361704"/>
    <w:rsid w:val="00361D33"/>
    <w:rsid w:val="00362BFD"/>
    <w:rsid w:val="00364786"/>
    <w:rsid w:val="00365A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7FBB"/>
    <w:rsid w:val="003B187F"/>
    <w:rsid w:val="003B620C"/>
    <w:rsid w:val="003B6A47"/>
    <w:rsid w:val="003B6AB3"/>
    <w:rsid w:val="003C41D2"/>
    <w:rsid w:val="003C49B0"/>
    <w:rsid w:val="003C7475"/>
    <w:rsid w:val="003C74B7"/>
    <w:rsid w:val="003D0609"/>
    <w:rsid w:val="003D1F65"/>
    <w:rsid w:val="003D51F2"/>
    <w:rsid w:val="003E0060"/>
    <w:rsid w:val="003E0B46"/>
    <w:rsid w:val="003E66DF"/>
    <w:rsid w:val="003E75B6"/>
    <w:rsid w:val="003F2E4A"/>
    <w:rsid w:val="003F33CB"/>
    <w:rsid w:val="00401DB3"/>
    <w:rsid w:val="0041336F"/>
    <w:rsid w:val="00413D41"/>
    <w:rsid w:val="00414973"/>
    <w:rsid w:val="0041645E"/>
    <w:rsid w:val="00417FC9"/>
    <w:rsid w:val="00427C39"/>
    <w:rsid w:val="004312F7"/>
    <w:rsid w:val="00434E5C"/>
    <w:rsid w:val="0044499D"/>
    <w:rsid w:val="00445788"/>
    <w:rsid w:val="004468F7"/>
    <w:rsid w:val="00446F00"/>
    <w:rsid w:val="004504F1"/>
    <w:rsid w:val="0045482E"/>
    <w:rsid w:val="00457F5D"/>
    <w:rsid w:val="00460CD0"/>
    <w:rsid w:val="00461B15"/>
    <w:rsid w:val="00462035"/>
    <w:rsid w:val="004636A7"/>
    <w:rsid w:val="00464893"/>
    <w:rsid w:val="00466F57"/>
    <w:rsid w:val="004704C9"/>
    <w:rsid w:val="0047056B"/>
    <w:rsid w:val="00472D33"/>
    <w:rsid w:val="00473F4B"/>
    <w:rsid w:val="004752EB"/>
    <w:rsid w:val="004837C5"/>
    <w:rsid w:val="00485EDE"/>
    <w:rsid w:val="004968EE"/>
    <w:rsid w:val="0049759C"/>
    <w:rsid w:val="004A2991"/>
    <w:rsid w:val="004A41EF"/>
    <w:rsid w:val="004A5D6B"/>
    <w:rsid w:val="004A69A3"/>
    <w:rsid w:val="004A7A40"/>
    <w:rsid w:val="004B1642"/>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3D2D"/>
    <w:rsid w:val="00514470"/>
    <w:rsid w:val="00517ADD"/>
    <w:rsid w:val="00520081"/>
    <w:rsid w:val="00521183"/>
    <w:rsid w:val="00523D91"/>
    <w:rsid w:val="0052593A"/>
    <w:rsid w:val="00526C5F"/>
    <w:rsid w:val="005327E9"/>
    <w:rsid w:val="00532BAF"/>
    <w:rsid w:val="00535D4E"/>
    <w:rsid w:val="0053782C"/>
    <w:rsid w:val="0054222B"/>
    <w:rsid w:val="00543C04"/>
    <w:rsid w:val="0055574E"/>
    <w:rsid w:val="00556671"/>
    <w:rsid w:val="00560194"/>
    <w:rsid w:val="00561D69"/>
    <w:rsid w:val="00561E94"/>
    <w:rsid w:val="00562D2B"/>
    <w:rsid w:val="00562EE5"/>
    <w:rsid w:val="00571C1E"/>
    <w:rsid w:val="00574720"/>
    <w:rsid w:val="00576934"/>
    <w:rsid w:val="0057794A"/>
    <w:rsid w:val="0058134C"/>
    <w:rsid w:val="00583230"/>
    <w:rsid w:val="00585EB2"/>
    <w:rsid w:val="00590E3A"/>
    <w:rsid w:val="00590E40"/>
    <w:rsid w:val="00593FCB"/>
    <w:rsid w:val="0059417B"/>
    <w:rsid w:val="00596063"/>
    <w:rsid w:val="0059787C"/>
    <w:rsid w:val="005B0F7A"/>
    <w:rsid w:val="005B1AD1"/>
    <w:rsid w:val="005B6997"/>
    <w:rsid w:val="005C7B97"/>
    <w:rsid w:val="005D45F7"/>
    <w:rsid w:val="005D5175"/>
    <w:rsid w:val="005D5233"/>
    <w:rsid w:val="005D5F39"/>
    <w:rsid w:val="005D5FF3"/>
    <w:rsid w:val="005E18E3"/>
    <w:rsid w:val="005E25D9"/>
    <w:rsid w:val="005E3EA9"/>
    <w:rsid w:val="005E44F4"/>
    <w:rsid w:val="005E5E14"/>
    <w:rsid w:val="005F15CC"/>
    <w:rsid w:val="005F7A0E"/>
    <w:rsid w:val="00600FC5"/>
    <w:rsid w:val="006041D6"/>
    <w:rsid w:val="00604C3D"/>
    <w:rsid w:val="0060618C"/>
    <w:rsid w:val="0061765C"/>
    <w:rsid w:val="00620C29"/>
    <w:rsid w:val="00622552"/>
    <w:rsid w:val="00624E1C"/>
    <w:rsid w:val="00626534"/>
    <w:rsid w:val="00626819"/>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5C2B"/>
    <w:rsid w:val="00666868"/>
    <w:rsid w:val="006700A5"/>
    <w:rsid w:val="00672A3E"/>
    <w:rsid w:val="00674071"/>
    <w:rsid w:val="00675931"/>
    <w:rsid w:val="006823E7"/>
    <w:rsid w:val="006824B2"/>
    <w:rsid w:val="00682EED"/>
    <w:rsid w:val="0068752E"/>
    <w:rsid w:val="00695A7E"/>
    <w:rsid w:val="006A43D9"/>
    <w:rsid w:val="006A45D6"/>
    <w:rsid w:val="006A57C0"/>
    <w:rsid w:val="006B060B"/>
    <w:rsid w:val="006B13B0"/>
    <w:rsid w:val="006B3E00"/>
    <w:rsid w:val="006B5D4F"/>
    <w:rsid w:val="006C1202"/>
    <w:rsid w:val="006C3506"/>
    <w:rsid w:val="006C4E0D"/>
    <w:rsid w:val="006D41F2"/>
    <w:rsid w:val="006D4F66"/>
    <w:rsid w:val="006D54CF"/>
    <w:rsid w:val="006E6598"/>
    <w:rsid w:val="006F07E3"/>
    <w:rsid w:val="006F0EC9"/>
    <w:rsid w:val="006F1302"/>
    <w:rsid w:val="006F274D"/>
    <w:rsid w:val="006F66D2"/>
    <w:rsid w:val="00707829"/>
    <w:rsid w:val="0071089C"/>
    <w:rsid w:val="007126A2"/>
    <w:rsid w:val="00717CF4"/>
    <w:rsid w:val="00720BE8"/>
    <w:rsid w:val="00720EBF"/>
    <w:rsid w:val="00724642"/>
    <w:rsid w:val="007322C5"/>
    <w:rsid w:val="00732388"/>
    <w:rsid w:val="00732564"/>
    <w:rsid w:val="0073426D"/>
    <w:rsid w:val="00744E6D"/>
    <w:rsid w:val="0074708B"/>
    <w:rsid w:val="00751E2A"/>
    <w:rsid w:val="00752E26"/>
    <w:rsid w:val="0075361D"/>
    <w:rsid w:val="007539D9"/>
    <w:rsid w:val="00753D11"/>
    <w:rsid w:val="00754F02"/>
    <w:rsid w:val="0075517A"/>
    <w:rsid w:val="007570AB"/>
    <w:rsid w:val="007610F6"/>
    <w:rsid w:val="007660E5"/>
    <w:rsid w:val="00770366"/>
    <w:rsid w:val="00771C09"/>
    <w:rsid w:val="007720DD"/>
    <w:rsid w:val="007727CB"/>
    <w:rsid w:val="007740EF"/>
    <w:rsid w:val="00775CAC"/>
    <w:rsid w:val="0078114E"/>
    <w:rsid w:val="00782C4D"/>
    <w:rsid w:val="007A1F9E"/>
    <w:rsid w:val="007A41E3"/>
    <w:rsid w:val="007A6EBC"/>
    <w:rsid w:val="007B273D"/>
    <w:rsid w:val="007B5221"/>
    <w:rsid w:val="007B5B40"/>
    <w:rsid w:val="007C232B"/>
    <w:rsid w:val="007C2F6F"/>
    <w:rsid w:val="007D27B2"/>
    <w:rsid w:val="007D3206"/>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959"/>
    <w:rsid w:val="00821C78"/>
    <w:rsid w:val="00822058"/>
    <w:rsid w:val="0082308B"/>
    <w:rsid w:val="008236A0"/>
    <w:rsid w:val="008251EA"/>
    <w:rsid w:val="00830BA2"/>
    <w:rsid w:val="008331B0"/>
    <w:rsid w:val="00834862"/>
    <w:rsid w:val="0083556D"/>
    <w:rsid w:val="00836817"/>
    <w:rsid w:val="008438C3"/>
    <w:rsid w:val="00860F75"/>
    <w:rsid w:val="0086391A"/>
    <w:rsid w:val="00864D94"/>
    <w:rsid w:val="00866ED5"/>
    <w:rsid w:val="00871978"/>
    <w:rsid w:val="00880ECD"/>
    <w:rsid w:val="00882A4D"/>
    <w:rsid w:val="00882D87"/>
    <w:rsid w:val="00884A96"/>
    <w:rsid w:val="00884AF8"/>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A6FAA"/>
    <w:rsid w:val="008B24BF"/>
    <w:rsid w:val="008B333E"/>
    <w:rsid w:val="008C009A"/>
    <w:rsid w:val="008C2187"/>
    <w:rsid w:val="008C4747"/>
    <w:rsid w:val="008C6E16"/>
    <w:rsid w:val="008C7981"/>
    <w:rsid w:val="008D0789"/>
    <w:rsid w:val="008D18C8"/>
    <w:rsid w:val="008D3DD1"/>
    <w:rsid w:val="008D6AE1"/>
    <w:rsid w:val="008E0B6D"/>
    <w:rsid w:val="008F0E83"/>
    <w:rsid w:val="008F11CC"/>
    <w:rsid w:val="008F24A4"/>
    <w:rsid w:val="008F533C"/>
    <w:rsid w:val="00901D2D"/>
    <w:rsid w:val="00906E5E"/>
    <w:rsid w:val="00907ABC"/>
    <w:rsid w:val="00911E05"/>
    <w:rsid w:val="00911EFA"/>
    <w:rsid w:val="009169C4"/>
    <w:rsid w:val="00916E49"/>
    <w:rsid w:val="00920227"/>
    <w:rsid w:val="00920D2A"/>
    <w:rsid w:val="00922589"/>
    <w:rsid w:val="00922BBD"/>
    <w:rsid w:val="00923A3D"/>
    <w:rsid w:val="009242FD"/>
    <w:rsid w:val="00927D99"/>
    <w:rsid w:val="00927D9E"/>
    <w:rsid w:val="00932850"/>
    <w:rsid w:val="009351FA"/>
    <w:rsid w:val="00935AC3"/>
    <w:rsid w:val="00940793"/>
    <w:rsid w:val="0094095E"/>
    <w:rsid w:val="00940A68"/>
    <w:rsid w:val="009427D6"/>
    <w:rsid w:val="0094298C"/>
    <w:rsid w:val="00943571"/>
    <w:rsid w:val="00954483"/>
    <w:rsid w:val="009558DA"/>
    <w:rsid w:val="0095741E"/>
    <w:rsid w:val="00957987"/>
    <w:rsid w:val="00957B16"/>
    <w:rsid w:val="009622B6"/>
    <w:rsid w:val="00962EC6"/>
    <w:rsid w:val="00964F12"/>
    <w:rsid w:val="00964F64"/>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C68CE"/>
    <w:rsid w:val="009D18CF"/>
    <w:rsid w:val="009D1C4F"/>
    <w:rsid w:val="009E0E57"/>
    <w:rsid w:val="009E16AA"/>
    <w:rsid w:val="009E2F96"/>
    <w:rsid w:val="009E40D3"/>
    <w:rsid w:val="009F495A"/>
    <w:rsid w:val="009F58CE"/>
    <w:rsid w:val="009F7D20"/>
    <w:rsid w:val="00A04BB9"/>
    <w:rsid w:val="00A11012"/>
    <w:rsid w:val="00A11EE9"/>
    <w:rsid w:val="00A13349"/>
    <w:rsid w:val="00A1371C"/>
    <w:rsid w:val="00A13AE3"/>
    <w:rsid w:val="00A14D2A"/>
    <w:rsid w:val="00A153FF"/>
    <w:rsid w:val="00A15B63"/>
    <w:rsid w:val="00A17A22"/>
    <w:rsid w:val="00A20F2F"/>
    <w:rsid w:val="00A2619E"/>
    <w:rsid w:val="00A31852"/>
    <w:rsid w:val="00A31FCD"/>
    <w:rsid w:val="00A327E8"/>
    <w:rsid w:val="00A352F0"/>
    <w:rsid w:val="00A41EE3"/>
    <w:rsid w:val="00A42B01"/>
    <w:rsid w:val="00A44D27"/>
    <w:rsid w:val="00A466DA"/>
    <w:rsid w:val="00A46C64"/>
    <w:rsid w:val="00A53D85"/>
    <w:rsid w:val="00A557FE"/>
    <w:rsid w:val="00A56B27"/>
    <w:rsid w:val="00A60EAB"/>
    <w:rsid w:val="00A63535"/>
    <w:rsid w:val="00A7276B"/>
    <w:rsid w:val="00A805B9"/>
    <w:rsid w:val="00A80DF8"/>
    <w:rsid w:val="00A81738"/>
    <w:rsid w:val="00A86777"/>
    <w:rsid w:val="00A87388"/>
    <w:rsid w:val="00A9213A"/>
    <w:rsid w:val="00A93DEE"/>
    <w:rsid w:val="00A95A78"/>
    <w:rsid w:val="00AA07C1"/>
    <w:rsid w:val="00AA286C"/>
    <w:rsid w:val="00AA4EE3"/>
    <w:rsid w:val="00AA72B3"/>
    <w:rsid w:val="00AB03E8"/>
    <w:rsid w:val="00AB0956"/>
    <w:rsid w:val="00AB26E1"/>
    <w:rsid w:val="00AB54AA"/>
    <w:rsid w:val="00AB55F7"/>
    <w:rsid w:val="00AB59B7"/>
    <w:rsid w:val="00AC0FE4"/>
    <w:rsid w:val="00AC23CB"/>
    <w:rsid w:val="00AC2430"/>
    <w:rsid w:val="00AD1997"/>
    <w:rsid w:val="00AD70E6"/>
    <w:rsid w:val="00AD73C4"/>
    <w:rsid w:val="00AE0234"/>
    <w:rsid w:val="00AE094B"/>
    <w:rsid w:val="00AE338C"/>
    <w:rsid w:val="00AF04C4"/>
    <w:rsid w:val="00AF0E18"/>
    <w:rsid w:val="00AF13FC"/>
    <w:rsid w:val="00AF23E3"/>
    <w:rsid w:val="00AF2539"/>
    <w:rsid w:val="00AF7DC9"/>
    <w:rsid w:val="00B0084D"/>
    <w:rsid w:val="00B03184"/>
    <w:rsid w:val="00B0497B"/>
    <w:rsid w:val="00B058BB"/>
    <w:rsid w:val="00B05BB5"/>
    <w:rsid w:val="00B0669A"/>
    <w:rsid w:val="00B06EFF"/>
    <w:rsid w:val="00B07537"/>
    <w:rsid w:val="00B075D1"/>
    <w:rsid w:val="00B12A9A"/>
    <w:rsid w:val="00B12FE5"/>
    <w:rsid w:val="00B1523B"/>
    <w:rsid w:val="00B1752F"/>
    <w:rsid w:val="00B21867"/>
    <w:rsid w:val="00B23EB7"/>
    <w:rsid w:val="00B30C35"/>
    <w:rsid w:val="00B315B3"/>
    <w:rsid w:val="00B32A49"/>
    <w:rsid w:val="00B33343"/>
    <w:rsid w:val="00B3398E"/>
    <w:rsid w:val="00B4058C"/>
    <w:rsid w:val="00B43C9D"/>
    <w:rsid w:val="00B46E95"/>
    <w:rsid w:val="00B46FAB"/>
    <w:rsid w:val="00B5429D"/>
    <w:rsid w:val="00B6127B"/>
    <w:rsid w:val="00B6313F"/>
    <w:rsid w:val="00B63683"/>
    <w:rsid w:val="00B6406F"/>
    <w:rsid w:val="00B658E6"/>
    <w:rsid w:val="00B67045"/>
    <w:rsid w:val="00B67EFB"/>
    <w:rsid w:val="00B71E1B"/>
    <w:rsid w:val="00B72388"/>
    <w:rsid w:val="00B750B7"/>
    <w:rsid w:val="00B75DD5"/>
    <w:rsid w:val="00B76E3D"/>
    <w:rsid w:val="00B80610"/>
    <w:rsid w:val="00B80C85"/>
    <w:rsid w:val="00B816BB"/>
    <w:rsid w:val="00B818F1"/>
    <w:rsid w:val="00B83E2D"/>
    <w:rsid w:val="00B86B50"/>
    <w:rsid w:val="00B875E8"/>
    <w:rsid w:val="00B90F77"/>
    <w:rsid w:val="00B931DB"/>
    <w:rsid w:val="00B96152"/>
    <w:rsid w:val="00BA1D6C"/>
    <w:rsid w:val="00BA2E33"/>
    <w:rsid w:val="00BA34FC"/>
    <w:rsid w:val="00BA7415"/>
    <w:rsid w:val="00BB5B03"/>
    <w:rsid w:val="00BB64B1"/>
    <w:rsid w:val="00BB7080"/>
    <w:rsid w:val="00BB7E23"/>
    <w:rsid w:val="00BC2D50"/>
    <w:rsid w:val="00BC38C5"/>
    <w:rsid w:val="00BC5228"/>
    <w:rsid w:val="00BC522F"/>
    <w:rsid w:val="00BC5A1B"/>
    <w:rsid w:val="00BD43B7"/>
    <w:rsid w:val="00BD5870"/>
    <w:rsid w:val="00BD740B"/>
    <w:rsid w:val="00BD74B0"/>
    <w:rsid w:val="00BE0401"/>
    <w:rsid w:val="00BE2B6D"/>
    <w:rsid w:val="00BE3F2D"/>
    <w:rsid w:val="00BE4C1E"/>
    <w:rsid w:val="00BE7BD0"/>
    <w:rsid w:val="00BF1DF3"/>
    <w:rsid w:val="00BF487F"/>
    <w:rsid w:val="00BF6DEF"/>
    <w:rsid w:val="00C0753A"/>
    <w:rsid w:val="00C20B5B"/>
    <w:rsid w:val="00C2111A"/>
    <w:rsid w:val="00C24DAA"/>
    <w:rsid w:val="00C339D8"/>
    <w:rsid w:val="00C36E32"/>
    <w:rsid w:val="00C37C6E"/>
    <w:rsid w:val="00C405FD"/>
    <w:rsid w:val="00C434FF"/>
    <w:rsid w:val="00C45A30"/>
    <w:rsid w:val="00C46B5C"/>
    <w:rsid w:val="00C5338B"/>
    <w:rsid w:val="00C5663A"/>
    <w:rsid w:val="00C64CC6"/>
    <w:rsid w:val="00C65264"/>
    <w:rsid w:val="00C6638D"/>
    <w:rsid w:val="00C66A4A"/>
    <w:rsid w:val="00C67202"/>
    <w:rsid w:val="00C70860"/>
    <w:rsid w:val="00C74ED4"/>
    <w:rsid w:val="00C74F48"/>
    <w:rsid w:val="00C762ED"/>
    <w:rsid w:val="00C8088E"/>
    <w:rsid w:val="00C84FE2"/>
    <w:rsid w:val="00C87265"/>
    <w:rsid w:val="00C8761A"/>
    <w:rsid w:val="00C90BE2"/>
    <w:rsid w:val="00C92AEE"/>
    <w:rsid w:val="00C97556"/>
    <w:rsid w:val="00CA24D4"/>
    <w:rsid w:val="00CA3110"/>
    <w:rsid w:val="00CA48D8"/>
    <w:rsid w:val="00CB1134"/>
    <w:rsid w:val="00CB3368"/>
    <w:rsid w:val="00CB39B6"/>
    <w:rsid w:val="00CB5A91"/>
    <w:rsid w:val="00CB5D21"/>
    <w:rsid w:val="00CC0C38"/>
    <w:rsid w:val="00CC0E8B"/>
    <w:rsid w:val="00CC3519"/>
    <w:rsid w:val="00CC6E7B"/>
    <w:rsid w:val="00CC7F53"/>
    <w:rsid w:val="00CD27DB"/>
    <w:rsid w:val="00CE171E"/>
    <w:rsid w:val="00CE2EA5"/>
    <w:rsid w:val="00CE7503"/>
    <w:rsid w:val="00CF0B0B"/>
    <w:rsid w:val="00CF1E92"/>
    <w:rsid w:val="00CF2CAD"/>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6F0"/>
    <w:rsid w:val="00D45853"/>
    <w:rsid w:val="00D45E02"/>
    <w:rsid w:val="00D46443"/>
    <w:rsid w:val="00D47F37"/>
    <w:rsid w:val="00D509DE"/>
    <w:rsid w:val="00D516C8"/>
    <w:rsid w:val="00D54E04"/>
    <w:rsid w:val="00D57E64"/>
    <w:rsid w:val="00D623A6"/>
    <w:rsid w:val="00D776B7"/>
    <w:rsid w:val="00D82BE1"/>
    <w:rsid w:val="00D83D3F"/>
    <w:rsid w:val="00D9083F"/>
    <w:rsid w:val="00D92B3F"/>
    <w:rsid w:val="00D97536"/>
    <w:rsid w:val="00D97548"/>
    <w:rsid w:val="00DA3C55"/>
    <w:rsid w:val="00DA570C"/>
    <w:rsid w:val="00DA5EB1"/>
    <w:rsid w:val="00DB0DF0"/>
    <w:rsid w:val="00DB1A36"/>
    <w:rsid w:val="00DB481F"/>
    <w:rsid w:val="00DB4A10"/>
    <w:rsid w:val="00DB652D"/>
    <w:rsid w:val="00DB7E54"/>
    <w:rsid w:val="00DC1188"/>
    <w:rsid w:val="00DE2340"/>
    <w:rsid w:val="00DE5C43"/>
    <w:rsid w:val="00DF0066"/>
    <w:rsid w:val="00DF1F05"/>
    <w:rsid w:val="00DF4C2B"/>
    <w:rsid w:val="00E00694"/>
    <w:rsid w:val="00E10633"/>
    <w:rsid w:val="00E108CC"/>
    <w:rsid w:val="00E11B95"/>
    <w:rsid w:val="00E11EDC"/>
    <w:rsid w:val="00E12DDA"/>
    <w:rsid w:val="00E27C0E"/>
    <w:rsid w:val="00E30225"/>
    <w:rsid w:val="00E327AE"/>
    <w:rsid w:val="00E344A2"/>
    <w:rsid w:val="00E35546"/>
    <w:rsid w:val="00E35592"/>
    <w:rsid w:val="00E4025A"/>
    <w:rsid w:val="00E41989"/>
    <w:rsid w:val="00E479E0"/>
    <w:rsid w:val="00E50BFF"/>
    <w:rsid w:val="00E55EB5"/>
    <w:rsid w:val="00E56A0E"/>
    <w:rsid w:val="00E60394"/>
    <w:rsid w:val="00E611A2"/>
    <w:rsid w:val="00E614BF"/>
    <w:rsid w:val="00E7599B"/>
    <w:rsid w:val="00E75B21"/>
    <w:rsid w:val="00E80518"/>
    <w:rsid w:val="00E8335D"/>
    <w:rsid w:val="00E83E9A"/>
    <w:rsid w:val="00E852C2"/>
    <w:rsid w:val="00E913CB"/>
    <w:rsid w:val="00E930EE"/>
    <w:rsid w:val="00E96857"/>
    <w:rsid w:val="00E96C6C"/>
    <w:rsid w:val="00EA02A2"/>
    <w:rsid w:val="00EA0E7B"/>
    <w:rsid w:val="00EA2090"/>
    <w:rsid w:val="00EA73C1"/>
    <w:rsid w:val="00EB0373"/>
    <w:rsid w:val="00EB225C"/>
    <w:rsid w:val="00EB33A1"/>
    <w:rsid w:val="00EC03C7"/>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41A0"/>
    <w:rsid w:val="00F05BCC"/>
    <w:rsid w:val="00F14C06"/>
    <w:rsid w:val="00F15AE1"/>
    <w:rsid w:val="00F171C0"/>
    <w:rsid w:val="00F17D02"/>
    <w:rsid w:val="00F24869"/>
    <w:rsid w:val="00F25A12"/>
    <w:rsid w:val="00F302FE"/>
    <w:rsid w:val="00F31EEB"/>
    <w:rsid w:val="00F37734"/>
    <w:rsid w:val="00F37A14"/>
    <w:rsid w:val="00F41729"/>
    <w:rsid w:val="00F419A6"/>
    <w:rsid w:val="00F4281B"/>
    <w:rsid w:val="00F432F6"/>
    <w:rsid w:val="00F43CD1"/>
    <w:rsid w:val="00F4652D"/>
    <w:rsid w:val="00F47BC0"/>
    <w:rsid w:val="00F52123"/>
    <w:rsid w:val="00F52ED3"/>
    <w:rsid w:val="00F60A71"/>
    <w:rsid w:val="00F61A78"/>
    <w:rsid w:val="00F66AC9"/>
    <w:rsid w:val="00F72493"/>
    <w:rsid w:val="00F73E10"/>
    <w:rsid w:val="00F761C6"/>
    <w:rsid w:val="00F763E7"/>
    <w:rsid w:val="00F83B35"/>
    <w:rsid w:val="00F84AB4"/>
    <w:rsid w:val="00F856B8"/>
    <w:rsid w:val="00F86C35"/>
    <w:rsid w:val="00F874FE"/>
    <w:rsid w:val="00F87CB0"/>
    <w:rsid w:val="00F924FB"/>
    <w:rsid w:val="00F9291A"/>
    <w:rsid w:val="00F943AF"/>
    <w:rsid w:val="00F9469A"/>
    <w:rsid w:val="00FA0560"/>
    <w:rsid w:val="00FA08D6"/>
    <w:rsid w:val="00FA0DD1"/>
    <w:rsid w:val="00FA0FCA"/>
    <w:rsid w:val="00FA2F4C"/>
    <w:rsid w:val="00FA3A61"/>
    <w:rsid w:val="00FA48C3"/>
    <w:rsid w:val="00FA5BF8"/>
    <w:rsid w:val="00FB14E6"/>
    <w:rsid w:val="00FB414C"/>
    <w:rsid w:val="00FD41C4"/>
    <w:rsid w:val="00FD625B"/>
    <w:rsid w:val="00FD76D3"/>
    <w:rsid w:val="00FE0A18"/>
    <w:rsid w:val="00FE1F8E"/>
    <w:rsid w:val="00FE2969"/>
    <w:rsid w:val="00FE3326"/>
    <w:rsid w:val="00FE455C"/>
    <w:rsid w:val="00FE5522"/>
    <w:rsid w:val="00FE728B"/>
    <w:rsid w:val="00FF0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 w:type="paragraph" w:styleId="PlainText">
    <w:name w:val="Plain Text"/>
    <w:basedOn w:val="Normal"/>
    <w:link w:val="PlainTextChar"/>
    <w:uiPriority w:val="99"/>
    <w:unhideWhenUsed/>
    <w:rsid w:val="004968EE"/>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4968EE"/>
    <w:rPr>
      <w:rFonts w:ascii="Arial" w:eastAsia="MS Gothic" w:hAnsi="Arial" w:cs="Times New Roman"/>
      <w:color w:val="000000"/>
      <w:sz w:val="20"/>
      <w:szCs w:val="20"/>
      <w:lang w:val="x-none" w:eastAsia="x-none"/>
    </w:rPr>
  </w:style>
  <w:style w:type="paragraph" w:customStyle="1" w:styleId="2">
    <w:name w:val="列出段落2"/>
    <w:basedOn w:val="Normal"/>
    <w:link w:val="a"/>
    <w:uiPriority w:val="34"/>
    <w:qFormat/>
    <w:rsid w:val="00EC03C7"/>
    <w:pPr>
      <w:suppressAutoHyphens/>
      <w:spacing w:after="50"/>
      <w:ind w:left="840"/>
    </w:pPr>
    <w:rPr>
      <w:rFonts w:ascii="Cambria" w:eastAsia="SimHei" w:hAnsi="Cambria" w:cs="SimSun"/>
      <w:sz w:val="20"/>
      <w:szCs w:val="20"/>
      <w:lang w:eastAsia="en-US"/>
    </w:rPr>
  </w:style>
  <w:style w:type="character" w:customStyle="1" w:styleId="a">
    <w:name w:val="列出段落 字符"/>
    <w:link w:val="2"/>
    <w:uiPriority w:val="34"/>
    <w:qFormat/>
    <w:rsid w:val="00EC03C7"/>
    <w:rPr>
      <w:rFonts w:ascii="Cambria" w:eastAsia="SimHei" w:hAnsi="Cambria" w:cs="SimSu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1395</TotalTime>
  <Pages>4</Pages>
  <Words>1786</Words>
  <Characters>10184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177</cp:revision>
  <dcterms:created xsi:type="dcterms:W3CDTF">2022-04-11T01:34:00Z</dcterms:created>
  <dcterms:modified xsi:type="dcterms:W3CDTF">2023-08-10T23:49:00Z</dcterms:modified>
</cp:coreProperties>
</file>